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18" w:rsidRDefault="000B4218" w:rsidP="000B4218">
      <w:pPr>
        <w:pStyle w:val="Balk1"/>
        <w:jc w:val="center"/>
      </w:pPr>
      <w:r>
        <w:t>TÜRKİYE TAŞKÖMÜRÜ KURUMU GENEL MÜDÜRLÜĞÜ</w:t>
      </w:r>
    </w:p>
    <w:p w:rsidR="000B4218" w:rsidRDefault="000B4218" w:rsidP="000B4218">
      <w:pPr>
        <w:pStyle w:val="GvdeMetni2"/>
        <w:rPr>
          <w:rFonts w:ascii="Times New Roman" w:hAnsi="Times New Roman"/>
          <w:sz w:val="24"/>
          <w:szCs w:val="24"/>
        </w:rPr>
      </w:pPr>
    </w:p>
    <w:p w:rsidR="000B4218" w:rsidRPr="00EB79D2" w:rsidRDefault="000B4218" w:rsidP="000B4218">
      <w:pPr>
        <w:pStyle w:val="GvdeMetni2"/>
        <w:rPr>
          <w:rFonts w:ascii="Times New Roman" w:hAnsi="Times New Roman"/>
          <w:sz w:val="24"/>
          <w:szCs w:val="24"/>
        </w:rPr>
      </w:pPr>
      <w:r>
        <w:rPr>
          <w:rFonts w:ascii="Times New Roman" w:hAnsi="Times New Roman"/>
          <w:sz w:val="24"/>
          <w:szCs w:val="24"/>
        </w:rPr>
        <w:t>ÖZEL GÜVENLİK PERSONELİ Y</w:t>
      </w:r>
      <w:r w:rsidR="00BB0E43">
        <w:rPr>
          <w:rFonts w:ascii="Times New Roman" w:hAnsi="Times New Roman"/>
          <w:sz w:val="24"/>
          <w:szCs w:val="24"/>
        </w:rPr>
        <w:t>E</w:t>
      </w:r>
      <w:r>
        <w:rPr>
          <w:rFonts w:ascii="Times New Roman" w:hAnsi="Times New Roman"/>
          <w:sz w:val="24"/>
          <w:szCs w:val="24"/>
        </w:rPr>
        <w:t>NİLEME EĞİTİMİ</w:t>
      </w:r>
    </w:p>
    <w:p w:rsidR="000B4218" w:rsidRPr="00EB79D2" w:rsidRDefault="000B4218" w:rsidP="000B4218">
      <w:pPr>
        <w:pStyle w:val="GvdeMetni2"/>
        <w:rPr>
          <w:rFonts w:ascii="Times New Roman" w:hAnsi="Times New Roman"/>
          <w:sz w:val="24"/>
          <w:szCs w:val="24"/>
        </w:rPr>
      </w:pPr>
      <w:r w:rsidRPr="00EB79D2">
        <w:rPr>
          <w:rFonts w:ascii="Times New Roman" w:hAnsi="Times New Roman"/>
          <w:sz w:val="24"/>
          <w:szCs w:val="24"/>
        </w:rPr>
        <w:t>TEKNİK ŞARTNAME</w:t>
      </w:r>
      <w:r>
        <w:rPr>
          <w:rFonts w:ascii="Times New Roman" w:hAnsi="Times New Roman"/>
          <w:sz w:val="24"/>
          <w:szCs w:val="24"/>
        </w:rPr>
        <w:t>SİDİR</w:t>
      </w:r>
    </w:p>
    <w:p w:rsidR="00CA3DA2" w:rsidRDefault="00CA3DA2" w:rsidP="00CA3DA2">
      <w:pPr>
        <w:jc w:val="center"/>
      </w:pPr>
    </w:p>
    <w:p w:rsidR="00CA3DA2" w:rsidRDefault="00CA3DA2" w:rsidP="00CA3DA2">
      <w:pPr>
        <w:jc w:val="both"/>
      </w:pPr>
    </w:p>
    <w:p w:rsidR="00CA3DA2" w:rsidRDefault="000A3076" w:rsidP="00CA3DA2">
      <w:pPr>
        <w:jc w:val="both"/>
      </w:pPr>
      <w:r>
        <w:rPr>
          <w:u w:val="single"/>
        </w:rPr>
        <w:t>I-</w:t>
      </w:r>
      <w:r w:rsidR="005D4D18" w:rsidRPr="005D4D18">
        <w:rPr>
          <w:u w:val="single"/>
        </w:rPr>
        <w:t xml:space="preserve">İŞİN </w:t>
      </w:r>
      <w:proofErr w:type="gramStart"/>
      <w:r w:rsidR="005D4D18" w:rsidRPr="005D4D18">
        <w:rPr>
          <w:u w:val="single"/>
        </w:rPr>
        <w:t>SAHİBİ         :</w:t>
      </w:r>
      <w:proofErr w:type="gramEnd"/>
    </w:p>
    <w:p w:rsidR="005D4D18" w:rsidRDefault="005D4D18" w:rsidP="00CA3DA2">
      <w:pPr>
        <w:jc w:val="both"/>
      </w:pPr>
    </w:p>
    <w:p w:rsidR="005D4D18" w:rsidRDefault="005D4D18" w:rsidP="00CA3DA2">
      <w:pPr>
        <w:jc w:val="both"/>
      </w:pPr>
      <w:r>
        <w:t xml:space="preserve">         Türkiye Taşkömürü Kurumu Genel Müdürlüğü</w:t>
      </w:r>
    </w:p>
    <w:p w:rsidR="005D4D18" w:rsidRDefault="005D4D18" w:rsidP="00CA3DA2">
      <w:pPr>
        <w:jc w:val="both"/>
      </w:pPr>
    </w:p>
    <w:p w:rsidR="005D4D18" w:rsidRDefault="000A3076" w:rsidP="00CA3DA2">
      <w:pPr>
        <w:jc w:val="both"/>
      </w:pPr>
      <w:r>
        <w:rPr>
          <w:u w:val="single"/>
        </w:rPr>
        <w:t>II-</w:t>
      </w:r>
      <w:r w:rsidR="005D4D18">
        <w:rPr>
          <w:u w:val="single"/>
        </w:rPr>
        <w:t xml:space="preserve">İŞİN </w:t>
      </w:r>
      <w:proofErr w:type="gramStart"/>
      <w:r w:rsidR="005D4D18">
        <w:rPr>
          <w:u w:val="single"/>
        </w:rPr>
        <w:t>AMACI         :</w:t>
      </w:r>
      <w:proofErr w:type="gramEnd"/>
    </w:p>
    <w:p w:rsidR="005D4D18" w:rsidRDefault="005D4D18" w:rsidP="00CA3DA2">
      <w:pPr>
        <w:jc w:val="both"/>
      </w:pPr>
    </w:p>
    <w:p w:rsidR="005D4D18" w:rsidRDefault="005D4D18" w:rsidP="00CA3DA2">
      <w:pPr>
        <w:jc w:val="both"/>
      </w:pPr>
      <w:r>
        <w:t xml:space="preserve">         </w:t>
      </w:r>
      <w:r w:rsidR="008C24ED">
        <w:t xml:space="preserve">5188 sayılı Kanun kapsamında görev yapan ve çalışma izinleri </w:t>
      </w:r>
      <w:r w:rsidR="00EB680E">
        <w:t>16.02.2024</w:t>
      </w:r>
      <w:r w:rsidR="008C24ED">
        <w:t xml:space="preserve"> tarihinde dolan özel güvenlik görevlilerinin, çalışma izinlerinin beş yıl daha uzatılmasını </w:t>
      </w:r>
      <w:proofErr w:type="spellStart"/>
      <w:r w:rsidR="008C24ED">
        <w:t>teminen</w:t>
      </w:r>
      <w:proofErr w:type="spellEnd"/>
      <w:r w:rsidR="008C24ED">
        <w:t xml:space="preserve"> yasal mevzuat kapsamında yenileme eğitimlerinin yapılması amaçlanmıştır.</w:t>
      </w:r>
    </w:p>
    <w:p w:rsidR="008C24ED" w:rsidRPr="005D4D18" w:rsidRDefault="008C24ED" w:rsidP="00CA3DA2">
      <w:pPr>
        <w:jc w:val="both"/>
      </w:pPr>
    </w:p>
    <w:p w:rsidR="00CA3DA2" w:rsidRDefault="000A3076" w:rsidP="00CA3DA2">
      <w:pPr>
        <w:jc w:val="both"/>
        <w:rPr>
          <w:u w:val="single"/>
        </w:rPr>
      </w:pPr>
      <w:r>
        <w:rPr>
          <w:u w:val="single"/>
        </w:rPr>
        <w:t>III-</w:t>
      </w:r>
      <w:r w:rsidR="00CA3DA2" w:rsidRPr="00CA3DA2">
        <w:rPr>
          <w:u w:val="single"/>
        </w:rPr>
        <w:t xml:space="preserve">İŞİN </w:t>
      </w:r>
      <w:proofErr w:type="gramStart"/>
      <w:r w:rsidR="00CA3DA2" w:rsidRPr="00CA3DA2">
        <w:rPr>
          <w:u w:val="single"/>
        </w:rPr>
        <w:t>KONUSU      :</w:t>
      </w:r>
      <w:proofErr w:type="gramEnd"/>
      <w:r w:rsidR="00CA3DA2" w:rsidRPr="00CA3DA2">
        <w:rPr>
          <w:u w:val="single"/>
        </w:rPr>
        <w:t xml:space="preserve"> </w:t>
      </w:r>
    </w:p>
    <w:p w:rsidR="00CA3DA2" w:rsidRDefault="00CA3DA2" w:rsidP="00CA3DA2">
      <w:pPr>
        <w:jc w:val="both"/>
        <w:rPr>
          <w:u w:val="single"/>
        </w:rPr>
      </w:pPr>
    </w:p>
    <w:p w:rsidR="00CA3DA2" w:rsidRDefault="00CA3DA2" w:rsidP="00CA3DA2">
      <w:pPr>
        <w:jc w:val="both"/>
      </w:pPr>
      <w:r>
        <w:t xml:space="preserve">          </w:t>
      </w:r>
      <w:proofErr w:type="gramStart"/>
      <w:r>
        <w:t xml:space="preserve">Türkiye Taşkömürü Kurumu Genel Müdürlüğü ve bağlı 5 müessesesinde 26.06.2004 tarihli ve 25504 sayılı Resmi </w:t>
      </w:r>
      <w:proofErr w:type="spellStart"/>
      <w:r>
        <w:t>Gazete’de</w:t>
      </w:r>
      <w:proofErr w:type="spellEnd"/>
      <w:r>
        <w:t xml:space="preserve"> yayınlanan 5188 sayılı Özel Güvenlik Hizmetlerine Dair Kanun k</w:t>
      </w:r>
      <w:r w:rsidR="00FC2D30">
        <w:t xml:space="preserve">apsamında görev yapan </w:t>
      </w:r>
      <w:r w:rsidR="00396E96">
        <w:t>135</w:t>
      </w:r>
      <w:r w:rsidR="000B4218">
        <w:t xml:space="preserve"> silahlı ve </w:t>
      </w:r>
      <w:r w:rsidR="00396E96">
        <w:t>3</w:t>
      </w:r>
      <w:r w:rsidR="00570121">
        <w:t xml:space="preserve"> </w:t>
      </w:r>
      <w:r w:rsidR="000B4218">
        <w:t xml:space="preserve">silahsız olmak üzere </w:t>
      </w:r>
      <w:r w:rsidR="00396E96">
        <w:t>toplam 138</w:t>
      </w:r>
      <w:r w:rsidR="000B4218">
        <w:t xml:space="preserve"> </w:t>
      </w:r>
      <w:r w:rsidR="00057C63">
        <w:t xml:space="preserve">özel güvenlik görevlisinin anılan Kanunun “Çalışma izni” başlıklı 11.inci maddesinin üçüncü fıkrası hükmü ile 07.10.2004 tarihli ve 25606 sayılı Resmi </w:t>
      </w:r>
      <w:proofErr w:type="spellStart"/>
      <w:r w:rsidR="00057C63">
        <w:t>Gazete’de</w:t>
      </w:r>
      <w:proofErr w:type="spellEnd"/>
      <w:r w:rsidR="00057C63">
        <w:t xml:space="preserve"> yayınlanan Özel Güvenlik Hizmetlerine Dair Kanunun Uygulanmasına İlişkin Yönetmeliğin “Çalışma İzninin Yenilenmesi” başlıklı 19.uncu maddesi hükümleri </w:t>
      </w:r>
      <w:r w:rsidR="000B4218">
        <w:t>doğrultusunda YENİLEME EĞİTİMİ</w:t>
      </w:r>
      <w:r w:rsidR="008C24ED">
        <w:t xml:space="preserve"> HİZMETİ satın alınmasıdır.</w:t>
      </w:r>
      <w:proofErr w:type="gramEnd"/>
    </w:p>
    <w:p w:rsidR="00057C63" w:rsidRDefault="00057C63" w:rsidP="00CA3DA2">
      <w:pPr>
        <w:jc w:val="both"/>
      </w:pPr>
    </w:p>
    <w:p w:rsidR="00057C63" w:rsidRDefault="000A3076" w:rsidP="00CA3DA2">
      <w:pPr>
        <w:jc w:val="both"/>
      </w:pPr>
      <w:r>
        <w:rPr>
          <w:u w:val="single"/>
        </w:rPr>
        <w:t>IV-</w:t>
      </w:r>
      <w:r w:rsidR="00057C63" w:rsidRPr="00057C63">
        <w:rPr>
          <w:u w:val="single"/>
        </w:rPr>
        <w:t xml:space="preserve">İŞİN </w:t>
      </w:r>
      <w:proofErr w:type="gramStart"/>
      <w:r w:rsidR="00057C63" w:rsidRPr="00057C63">
        <w:rPr>
          <w:u w:val="single"/>
        </w:rPr>
        <w:t>NİTELİĞİ</w:t>
      </w:r>
      <w:r w:rsidR="00057C63">
        <w:t xml:space="preserve">     :</w:t>
      </w:r>
      <w:proofErr w:type="gramEnd"/>
    </w:p>
    <w:p w:rsidR="00341873" w:rsidRDefault="00341873" w:rsidP="00CA3DA2">
      <w:pPr>
        <w:jc w:val="both"/>
      </w:pPr>
    </w:p>
    <w:p w:rsidR="00341873" w:rsidRDefault="00341873" w:rsidP="00CA3DA2">
      <w:pPr>
        <w:jc w:val="both"/>
      </w:pPr>
      <w:r>
        <w:t xml:space="preserve">         Türkiye Taşkömürü Kurumu Genel Müd</w:t>
      </w:r>
      <w:r w:rsidR="000B4218">
        <w:t>ürlüğü bünyesinde yer</w:t>
      </w:r>
      <w:r w:rsidR="003951C1">
        <w:t xml:space="preserve"> </w:t>
      </w:r>
      <w:r w:rsidR="000B4218">
        <w:t xml:space="preserve">alan </w:t>
      </w:r>
      <w:r w:rsidR="00396E96">
        <w:t>135</w:t>
      </w:r>
      <w:r w:rsidR="000B4218">
        <w:t xml:space="preserve"> silahlı ve </w:t>
      </w:r>
      <w:r w:rsidR="00396E96">
        <w:t>3</w:t>
      </w:r>
      <w:r w:rsidR="000B4218">
        <w:t xml:space="preserve"> silahsız olmak üzere toplam </w:t>
      </w:r>
      <w:r w:rsidR="00396E96">
        <w:t>138</w:t>
      </w:r>
      <w:r w:rsidR="00570121">
        <w:t xml:space="preserve"> </w:t>
      </w:r>
      <w:r w:rsidR="000B4218">
        <w:t xml:space="preserve">özel güvenlik görevlisinin </w:t>
      </w:r>
      <w:r w:rsidR="00396E96">
        <w:t>“Yenileme Eğitimleri</w:t>
      </w:r>
      <w:r>
        <w:t>nin; Kurumumuz güvenlik hizmetlerini aksatmayacak şekilde,</w:t>
      </w:r>
      <w:r w:rsidR="00B655FF">
        <w:t xml:space="preserve"> </w:t>
      </w:r>
      <w:r>
        <w:t>Kurum ile yüklenicinin b</w:t>
      </w:r>
      <w:r w:rsidR="00FC2D30">
        <w:t xml:space="preserve">irlikte </w:t>
      </w:r>
      <w:proofErr w:type="gramStart"/>
      <w:r w:rsidR="00FC2D30">
        <w:t>belirleyeceği</w:t>
      </w:r>
      <w:proofErr w:type="gramEnd"/>
      <w:r w:rsidR="00FC2D30">
        <w:t xml:space="preserve"> </w:t>
      </w:r>
      <w:r w:rsidR="000A3076">
        <w:t xml:space="preserve">sınıflarda, </w:t>
      </w:r>
      <w:r w:rsidR="009E1728">
        <w:t>15.07</w:t>
      </w:r>
      <w:r w:rsidR="00702B14">
        <w:t xml:space="preserve">.2023 </w:t>
      </w:r>
      <w:r>
        <w:t>tarihinden önce bitirilmek</w:t>
      </w:r>
      <w:r w:rsidR="00B531E4">
        <w:t xml:space="preserve"> şartıyla belirlenecek gruplar halinde,</w:t>
      </w:r>
      <w:r w:rsidR="00B655FF">
        <w:t xml:space="preserve"> Kurumumuz eğitim salonlarında</w:t>
      </w:r>
      <w:r w:rsidR="00570121">
        <w:t xml:space="preserve"> veya yüklenicinin der</w:t>
      </w:r>
      <w:r w:rsidR="003951C1">
        <w:t>s</w:t>
      </w:r>
      <w:r w:rsidR="00570121">
        <w:t xml:space="preserve">hanelerinde, </w:t>
      </w:r>
      <w:r w:rsidR="00C90C3C">
        <w:t>5188 sayılı Özel Güvenlik Hizmetlerine Dair Kanun ve Uygulanmasına İlişkin Yönetmelik kapsamında,</w:t>
      </w:r>
      <w:r w:rsidR="003C41E9" w:rsidRPr="003C41E9">
        <w:t xml:space="preserve"> </w:t>
      </w:r>
      <w:r w:rsidR="003C41E9">
        <w:t>17.07.2012 tarihli</w:t>
      </w:r>
      <w:r w:rsidR="00C90C3C">
        <w:t xml:space="preserve"> </w:t>
      </w:r>
      <w:r w:rsidR="00B531E4">
        <w:t xml:space="preserve">İçişleri Bakanlığı </w:t>
      </w:r>
      <w:r w:rsidR="003C41E9">
        <w:t xml:space="preserve">2012/42 sayılı genelgesi ve </w:t>
      </w:r>
      <w:r w:rsidR="00B531E4">
        <w:t xml:space="preserve">Emniyet Genel Müdürlüğünün </w:t>
      </w:r>
      <w:r w:rsidR="003C41E9">
        <w:t xml:space="preserve">2012/71 sayılı Genelgesinde ki </w:t>
      </w:r>
      <w:r w:rsidR="00B531E4">
        <w:t>“Özel Güvenlik Yenileme Eğitimi Programı”</w:t>
      </w:r>
      <w:r w:rsidR="001E1434">
        <w:t xml:space="preserve"> </w:t>
      </w:r>
      <w:r w:rsidR="00B30C5B">
        <w:t>dahilinde, Emniyet Genel Müdürlüğü tarafından tavsiye edilen kitaplar esas alınmak suretiyle</w:t>
      </w:r>
      <w:r w:rsidR="009A216A">
        <w:t xml:space="preserve"> yapılması esastır.</w:t>
      </w:r>
      <w:r w:rsidR="008C24ED">
        <w:t xml:space="preserve"> (Özel güvenlik görevlilerinin, müessesele</w:t>
      </w:r>
      <w:r w:rsidR="004E41A3">
        <w:t>re göre dağılım listesi ektedir</w:t>
      </w:r>
      <w:r w:rsidR="008C24ED">
        <w:t>)</w:t>
      </w:r>
    </w:p>
    <w:p w:rsidR="004E41A3" w:rsidRDefault="004E41A3" w:rsidP="00CA3DA2">
      <w:pPr>
        <w:jc w:val="both"/>
      </w:pPr>
      <w:r>
        <w:t xml:space="preserve">         </w:t>
      </w:r>
      <w:proofErr w:type="gramStart"/>
      <w:r>
        <w:t>Bu teknik şartname, Türkiye Taşkömürü Kurumu Genel Müdürlüğü bünyesinde yer</w:t>
      </w:r>
      <w:r w:rsidR="003951C1">
        <w:t xml:space="preserve"> </w:t>
      </w:r>
      <w:r>
        <w:t>alan güvenlik personelinin, güvenlik sertifikalarının yenilenmesi ve eğitimi ile personelin güvenlik sertifikalarının; resmi ve özel kurum ve kuruluşlarla olan her türlü iş ve işlemlerinin yerine getirilmesini,</w:t>
      </w:r>
      <w:r w:rsidR="003951C1">
        <w:t xml:space="preserve"> </w:t>
      </w:r>
      <w:r w:rsidR="00570121">
        <w:t>sınav ücretlerinin yatırılmasını,</w:t>
      </w:r>
      <w:r>
        <w:t xml:space="preserve"> personelin sınav belgelerinin hazırlanmasını ve resmi kurumlara bildirimini, personelin sınava katılımının sağlanmasını</w:t>
      </w:r>
      <w:r w:rsidR="00FF0072">
        <w:t>,</w:t>
      </w:r>
      <w:r w:rsidR="003951C1">
        <w:t xml:space="preserve"> </w:t>
      </w:r>
      <w:r w:rsidR="00570121">
        <w:t>eğitimde ve sınavda kullanılacak fişeklerin teminini,</w:t>
      </w:r>
      <w:r w:rsidR="00FF0072">
        <w:t xml:space="preserve"> sınav sonucuna göre güvenlik sertifikalarının düzenlenmesini ve Valilikten onaylattırılmasını, müteakiben kuruma teslimini kapsar, yüklenici bu kapsamda yapacağı tüm işleri sözleşme imzalandığında kabul etmiş sayılır. </w:t>
      </w:r>
      <w:proofErr w:type="gramEnd"/>
    </w:p>
    <w:p w:rsidR="008C24ED" w:rsidRDefault="008C24ED" w:rsidP="00CA3DA2">
      <w:pPr>
        <w:jc w:val="both"/>
      </w:pPr>
    </w:p>
    <w:p w:rsidR="00B21D26" w:rsidRDefault="00B21D26" w:rsidP="00CA3DA2">
      <w:pPr>
        <w:jc w:val="both"/>
      </w:pPr>
    </w:p>
    <w:p w:rsidR="008C24ED" w:rsidRDefault="000A3076" w:rsidP="00CA3DA2">
      <w:pPr>
        <w:jc w:val="both"/>
        <w:rPr>
          <w:u w:val="single"/>
        </w:rPr>
      </w:pPr>
      <w:r>
        <w:rPr>
          <w:u w:val="single"/>
        </w:rPr>
        <w:lastRenderedPageBreak/>
        <w:t>V-</w:t>
      </w:r>
      <w:r w:rsidR="008C24ED" w:rsidRPr="008C24ED">
        <w:rPr>
          <w:u w:val="single"/>
        </w:rPr>
        <w:t xml:space="preserve">İŞİN YAPIM </w:t>
      </w:r>
      <w:proofErr w:type="gramStart"/>
      <w:r w:rsidR="008C24ED" w:rsidRPr="008C24ED">
        <w:rPr>
          <w:u w:val="single"/>
        </w:rPr>
        <w:t>ŞEKLİ :</w:t>
      </w:r>
      <w:proofErr w:type="gramEnd"/>
    </w:p>
    <w:p w:rsidR="008C24ED" w:rsidRDefault="008C24ED" w:rsidP="00CA3DA2">
      <w:pPr>
        <w:jc w:val="both"/>
        <w:rPr>
          <w:u w:val="single"/>
        </w:rPr>
      </w:pPr>
    </w:p>
    <w:p w:rsidR="008C24ED" w:rsidRPr="008C24ED" w:rsidRDefault="00E1099F" w:rsidP="00CA3DA2">
      <w:pPr>
        <w:jc w:val="both"/>
      </w:pPr>
      <w:r>
        <w:t xml:space="preserve">         Hizmet alımı</w:t>
      </w:r>
    </w:p>
    <w:p w:rsidR="009A216A" w:rsidRDefault="009A216A" w:rsidP="00CA3DA2">
      <w:pPr>
        <w:jc w:val="both"/>
      </w:pPr>
    </w:p>
    <w:p w:rsidR="009A216A" w:rsidRDefault="000A3076" w:rsidP="00CA3DA2">
      <w:pPr>
        <w:jc w:val="both"/>
        <w:rPr>
          <w:u w:val="single"/>
        </w:rPr>
      </w:pPr>
      <w:r>
        <w:rPr>
          <w:u w:val="single"/>
        </w:rPr>
        <w:t>VI-</w:t>
      </w:r>
      <w:r w:rsidR="009A216A" w:rsidRPr="009A216A">
        <w:rPr>
          <w:u w:val="single"/>
        </w:rPr>
        <w:t xml:space="preserve">İŞİN </w:t>
      </w:r>
      <w:proofErr w:type="gramStart"/>
      <w:r w:rsidR="009A216A" w:rsidRPr="009A216A">
        <w:rPr>
          <w:u w:val="single"/>
        </w:rPr>
        <w:t>SÜRESİ       :</w:t>
      </w:r>
      <w:proofErr w:type="gramEnd"/>
    </w:p>
    <w:p w:rsidR="009A216A" w:rsidRDefault="009A216A" w:rsidP="00CA3DA2">
      <w:pPr>
        <w:jc w:val="both"/>
        <w:rPr>
          <w:u w:val="single"/>
        </w:rPr>
      </w:pPr>
    </w:p>
    <w:p w:rsidR="009A216A" w:rsidRDefault="009A216A" w:rsidP="00CA3DA2">
      <w:pPr>
        <w:jc w:val="both"/>
      </w:pPr>
      <w:r w:rsidRPr="009A216A">
        <w:t xml:space="preserve">         </w:t>
      </w:r>
      <w:r>
        <w:t xml:space="preserve">Eğitimlerin başlangıç tarihi </w:t>
      </w:r>
      <w:r w:rsidR="00536D96">
        <w:t xml:space="preserve">en geç </w:t>
      </w:r>
      <w:r w:rsidR="009E1728">
        <w:t>15.05</w:t>
      </w:r>
      <w:r w:rsidR="00EB680E">
        <w:t xml:space="preserve">.2023 </w:t>
      </w:r>
      <w:r>
        <w:t xml:space="preserve">tarihi </w:t>
      </w:r>
      <w:r w:rsidR="000A3076">
        <w:t xml:space="preserve">olup, en son bitiş tarihi ise </w:t>
      </w:r>
      <w:r w:rsidR="0099737E">
        <w:t>31.12</w:t>
      </w:r>
      <w:r w:rsidR="005621F7">
        <w:t>.</w:t>
      </w:r>
      <w:r w:rsidR="00EB680E">
        <w:t>2023</w:t>
      </w:r>
      <w:r>
        <w:t xml:space="preserve"> tarihidir.</w:t>
      </w:r>
    </w:p>
    <w:p w:rsidR="00E1099F" w:rsidRDefault="00E1099F" w:rsidP="00CA3DA2">
      <w:pPr>
        <w:jc w:val="both"/>
      </w:pPr>
    </w:p>
    <w:p w:rsidR="00E1099F" w:rsidRDefault="00E1099F" w:rsidP="00CA3DA2">
      <w:pPr>
        <w:jc w:val="both"/>
      </w:pPr>
    </w:p>
    <w:p w:rsidR="005C7FCE" w:rsidRDefault="00361C80" w:rsidP="00CA3DA2">
      <w:pPr>
        <w:jc w:val="both"/>
        <w:rPr>
          <w:u w:val="single"/>
        </w:rPr>
      </w:pPr>
      <w:r>
        <w:t xml:space="preserve">VII- </w:t>
      </w:r>
      <w:r w:rsidR="00E25497">
        <w:rPr>
          <w:u w:val="single"/>
        </w:rPr>
        <w:t>İHALEYE KATILACAKLARIN</w:t>
      </w:r>
      <w:r w:rsidR="002948DA">
        <w:rPr>
          <w:u w:val="single"/>
        </w:rPr>
        <w:t xml:space="preserve"> </w:t>
      </w:r>
      <w:r w:rsidR="00FC2D30">
        <w:rPr>
          <w:u w:val="single"/>
        </w:rPr>
        <w:t xml:space="preserve">TEKLİF MEKTUBU EKİNDE ASILLARINI İBRAZ EDECEKLERİ </w:t>
      </w:r>
      <w:proofErr w:type="gramStart"/>
      <w:r w:rsidR="00FC2D30">
        <w:rPr>
          <w:u w:val="single"/>
        </w:rPr>
        <w:t>BELGELER :</w:t>
      </w:r>
      <w:proofErr w:type="gramEnd"/>
    </w:p>
    <w:p w:rsidR="00536D96" w:rsidRDefault="00536D96" w:rsidP="00CA3DA2">
      <w:pPr>
        <w:jc w:val="both"/>
        <w:rPr>
          <w:u w:val="single"/>
        </w:rPr>
      </w:pPr>
    </w:p>
    <w:p w:rsidR="002948DA" w:rsidRDefault="009E7BA6" w:rsidP="00CA3DA2">
      <w:pPr>
        <w:jc w:val="both"/>
      </w:pPr>
      <w:r>
        <w:t xml:space="preserve">      </w:t>
      </w:r>
      <w:r w:rsidR="002948DA">
        <w:t xml:space="preserve">   1-</w:t>
      </w:r>
      <w:r>
        <w:t xml:space="preserve">İçişleri Bakanlığı’ndan alınmış “Özel Güvenlik Eğitim Kurumu Faaliyet İzin </w:t>
      </w:r>
      <w:proofErr w:type="spellStart"/>
      <w:r>
        <w:t>Belgesi”ni</w:t>
      </w:r>
      <w:proofErr w:type="spellEnd"/>
      <w:r>
        <w:t xml:space="preserve"> kuruma ibraz edecektir.</w:t>
      </w:r>
    </w:p>
    <w:p w:rsidR="005C7FCE" w:rsidRDefault="005C7FCE" w:rsidP="00CA3DA2">
      <w:pPr>
        <w:jc w:val="both"/>
      </w:pPr>
    </w:p>
    <w:p w:rsidR="005C7FCE" w:rsidRDefault="00536D96" w:rsidP="00CA3DA2">
      <w:pPr>
        <w:jc w:val="both"/>
      </w:pPr>
      <w:r>
        <w:t xml:space="preserve">         2</w:t>
      </w:r>
      <w:r w:rsidR="005C7FCE">
        <w:t>-</w:t>
      </w:r>
      <w:r w:rsidR="0065168E">
        <w:t>Yüklenici</w:t>
      </w:r>
      <w:r w:rsidR="0075162D">
        <w:t>; e</w:t>
      </w:r>
      <w:r w:rsidR="005C7FCE">
        <w:t>ğit</w:t>
      </w:r>
      <w:r w:rsidR="0065168E">
        <w:t>menlerin özel güvenlik görevlilerine eğitim</w:t>
      </w:r>
      <w:r w:rsidR="005C7FCE">
        <w:t xml:space="preserve"> verebileceklerine </w:t>
      </w:r>
      <w:r w:rsidR="0075162D">
        <w:t xml:space="preserve">dair </w:t>
      </w:r>
      <w:r w:rsidR="003937B0">
        <w:t xml:space="preserve">sertifika, diploma ve benzeri </w:t>
      </w:r>
      <w:r w:rsidR="005C7FCE">
        <w:t xml:space="preserve">belgeleri </w:t>
      </w:r>
      <w:r w:rsidR="0065168E">
        <w:t>idareye</w:t>
      </w:r>
      <w:r w:rsidR="005C7FCE">
        <w:t xml:space="preserve"> </w:t>
      </w:r>
      <w:r w:rsidR="0065168E">
        <w:t>ibraz</w:t>
      </w:r>
      <w:r w:rsidR="005C7FCE">
        <w:t xml:space="preserve"> edecektir.</w:t>
      </w:r>
    </w:p>
    <w:p w:rsidR="005C7FCE" w:rsidRDefault="005C7FCE" w:rsidP="00CA3DA2">
      <w:pPr>
        <w:jc w:val="both"/>
      </w:pPr>
    </w:p>
    <w:p w:rsidR="00E25497" w:rsidRDefault="005C7FCE" w:rsidP="00CA3DA2">
      <w:pPr>
        <w:jc w:val="both"/>
      </w:pPr>
      <w:r>
        <w:t xml:space="preserve">         </w:t>
      </w:r>
    </w:p>
    <w:p w:rsidR="00361C80" w:rsidRPr="002948DA" w:rsidRDefault="00361C80" w:rsidP="00361C80">
      <w:pPr>
        <w:jc w:val="both"/>
      </w:pPr>
      <w:r>
        <w:rPr>
          <w:u w:val="single"/>
        </w:rPr>
        <w:t>VIII-</w:t>
      </w:r>
      <w:proofErr w:type="gramStart"/>
      <w:r>
        <w:rPr>
          <w:u w:val="single"/>
        </w:rPr>
        <w:t>YÜKÜMLÜLÜKLER :</w:t>
      </w:r>
      <w:proofErr w:type="gramEnd"/>
    </w:p>
    <w:p w:rsidR="00361C80" w:rsidRDefault="00361C80" w:rsidP="00CA3DA2">
      <w:pPr>
        <w:jc w:val="both"/>
        <w:rPr>
          <w:u w:val="single"/>
        </w:rPr>
      </w:pPr>
    </w:p>
    <w:p w:rsidR="00536D96" w:rsidRDefault="00361C80" w:rsidP="00CA3DA2">
      <w:pPr>
        <w:jc w:val="both"/>
        <w:rPr>
          <w:u w:val="single"/>
        </w:rPr>
      </w:pPr>
      <w:r>
        <w:rPr>
          <w:u w:val="single"/>
        </w:rPr>
        <w:t>A</w:t>
      </w:r>
      <w:r w:rsidR="00E25497" w:rsidRPr="00E25497">
        <w:rPr>
          <w:u w:val="single"/>
        </w:rPr>
        <w:t xml:space="preserve">-YÜKLENİCİNİN </w:t>
      </w:r>
      <w:proofErr w:type="gramStart"/>
      <w:r w:rsidR="00E25497" w:rsidRPr="00E25497">
        <w:rPr>
          <w:u w:val="single"/>
        </w:rPr>
        <w:t>YÜKÜMLÜLÜKLERİ :</w:t>
      </w:r>
      <w:proofErr w:type="gramEnd"/>
      <w:r w:rsidR="00E25497" w:rsidRPr="00E25497">
        <w:rPr>
          <w:u w:val="single"/>
        </w:rPr>
        <w:t xml:space="preserve">  </w:t>
      </w:r>
    </w:p>
    <w:p w:rsidR="00536D96" w:rsidRDefault="00536D96" w:rsidP="00CA3DA2">
      <w:pPr>
        <w:jc w:val="both"/>
        <w:rPr>
          <w:u w:val="single"/>
        </w:rPr>
      </w:pPr>
    </w:p>
    <w:p w:rsidR="00E25497" w:rsidRPr="00E25497" w:rsidRDefault="00536D96" w:rsidP="00CA3DA2">
      <w:pPr>
        <w:jc w:val="both"/>
        <w:rPr>
          <w:u w:val="single"/>
        </w:rPr>
      </w:pPr>
      <w:r>
        <w:t xml:space="preserve">         1-Eğitimler ile ilgili tüm yasal izinleri alacaktır.</w:t>
      </w:r>
      <w:r w:rsidR="00E25497" w:rsidRPr="00E25497">
        <w:rPr>
          <w:u w:val="single"/>
        </w:rPr>
        <w:t xml:space="preserve">       </w:t>
      </w:r>
    </w:p>
    <w:p w:rsidR="00127C8D" w:rsidRDefault="00127C8D" w:rsidP="00CA3DA2">
      <w:pPr>
        <w:jc w:val="both"/>
      </w:pPr>
    </w:p>
    <w:p w:rsidR="00127C8D" w:rsidRDefault="00536D96" w:rsidP="00CA3DA2">
      <w:pPr>
        <w:jc w:val="both"/>
      </w:pPr>
      <w:r>
        <w:t xml:space="preserve">         2</w:t>
      </w:r>
      <w:r w:rsidR="00127C8D">
        <w:t xml:space="preserve">-Eğitimler esnasında kursiyerlere verilecek ders kitabı/ders notları ile </w:t>
      </w:r>
      <w:r w:rsidR="00103364">
        <w:t>gerekli</w:t>
      </w:r>
      <w:r w:rsidR="00127C8D">
        <w:t xml:space="preserve"> araç gereç ve donanımları temin edecektir.</w:t>
      </w:r>
    </w:p>
    <w:p w:rsidR="00743A58" w:rsidRDefault="00743A58" w:rsidP="00CA3DA2">
      <w:pPr>
        <w:jc w:val="both"/>
      </w:pPr>
    </w:p>
    <w:p w:rsidR="00743A58" w:rsidRDefault="00536D96" w:rsidP="00CA3DA2">
      <w:pPr>
        <w:jc w:val="both"/>
      </w:pPr>
      <w:r>
        <w:t xml:space="preserve">         3</w:t>
      </w:r>
      <w:r w:rsidR="00743A58">
        <w:t>-Kursiyerlere verilecek ders kitabı/ders notlarının birer örneğini kuruma teslim edecektir.</w:t>
      </w:r>
    </w:p>
    <w:p w:rsidR="007503F7" w:rsidRDefault="007503F7" w:rsidP="00CA3DA2">
      <w:pPr>
        <w:jc w:val="both"/>
      </w:pPr>
    </w:p>
    <w:p w:rsidR="007503F7" w:rsidRDefault="00536D96" w:rsidP="00CA3DA2">
      <w:pPr>
        <w:jc w:val="both"/>
      </w:pPr>
      <w:r>
        <w:t xml:space="preserve">         4</w:t>
      </w:r>
      <w:r w:rsidR="007503F7">
        <w:t xml:space="preserve">-Kursiyerlerin, gruplarındaki devam çizelgelerinin onaylı suretlerini, her grubun eğitiminin sonunda </w:t>
      </w:r>
      <w:r w:rsidR="0065168E">
        <w:t>idareye</w:t>
      </w:r>
      <w:r w:rsidR="007503F7">
        <w:t xml:space="preserve"> teslim edecektir.</w:t>
      </w:r>
    </w:p>
    <w:p w:rsidR="00127C8D" w:rsidRDefault="00127C8D" w:rsidP="00CA3DA2">
      <w:pPr>
        <w:jc w:val="both"/>
      </w:pPr>
    </w:p>
    <w:p w:rsidR="00127C8D" w:rsidRDefault="00536D96" w:rsidP="00CA3DA2">
      <w:pPr>
        <w:jc w:val="both"/>
      </w:pPr>
      <w:r>
        <w:t xml:space="preserve">         5</w:t>
      </w:r>
      <w:r w:rsidR="00127C8D">
        <w:t xml:space="preserve">-Uygulamalı silah eğitimlerinin güvenlik kuralları içinde yaptırılmasını sağlayacaktır. </w:t>
      </w:r>
      <w:r w:rsidR="00E25497">
        <w:t>(</w:t>
      </w:r>
      <w:r w:rsidR="00127C8D">
        <w:t>Atış esnasında güvenlik kurallarının eksiksiz uygulanması, poligon seçimi, poligon şartlarının yasal mevz</w:t>
      </w:r>
      <w:r w:rsidR="00E25497">
        <w:t xml:space="preserve">uata uygun hale getirilmesi </w:t>
      </w:r>
      <w:r w:rsidR="0065168E">
        <w:t>vb.</w:t>
      </w:r>
      <w:r w:rsidR="00E25497">
        <w:t>)</w:t>
      </w:r>
    </w:p>
    <w:p w:rsidR="00743A58" w:rsidRDefault="00743A58" w:rsidP="00CA3DA2">
      <w:pPr>
        <w:jc w:val="both"/>
      </w:pPr>
    </w:p>
    <w:p w:rsidR="00743A58" w:rsidRDefault="00536D96" w:rsidP="00CA3DA2">
      <w:pPr>
        <w:jc w:val="both"/>
      </w:pPr>
      <w:r>
        <w:t xml:space="preserve">         6</w:t>
      </w:r>
      <w:r w:rsidR="00743A58">
        <w:t>-Uygulamalı silah eğiti</w:t>
      </w:r>
      <w:r w:rsidR="00103364">
        <w:t>m</w:t>
      </w:r>
      <w:r w:rsidR="00743A58">
        <w:t>inde</w:t>
      </w:r>
      <w:r w:rsidR="00103364">
        <w:t xml:space="preserve"> ve atış sınavında</w:t>
      </w:r>
      <w:r w:rsidR="00743A58">
        <w:t xml:space="preserve"> </w:t>
      </w:r>
      <w:r w:rsidR="00103364">
        <w:t>kullanılacak fişeği</w:t>
      </w:r>
      <w:r w:rsidR="00914BBA">
        <w:t xml:space="preserve"> temin</w:t>
      </w:r>
      <w:r w:rsidR="00743A58">
        <w:t xml:space="preserve"> edecek ve fiili atış eğitiminin</w:t>
      </w:r>
      <w:r w:rsidR="00103364">
        <w:t xml:space="preserve"> ve sınavın</w:t>
      </w:r>
      <w:r w:rsidR="00743A58">
        <w:t xml:space="preserve"> yapılacağı poligona getirecektir.</w:t>
      </w:r>
      <w:r w:rsidR="00914BBA">
        <w:t xml:space="preserve"> </w:t>
      </w:r>
      <w:r w:rsidR="00103364">
        <w:t xml:space="preserve">Atış eğitimi ve sınav için ihtiyaç olan tabanca idare tarafından sağlanacaktır, atış alanına tüm </w:t>
      </w:r>
      <w:r w:rsidR="00051F31">
        <w:t xml:space="preserve">silah ve fişek </w:t>
      </w:r>
      <w:r w:rsidR="00103364">
        <w:t xml:space="preserve">nakil müsaadeleri </w:t>
      </w:r>
      <w:r w:rsidR="00051F31">
        <w:t>yüklenici tarafından İl Valiliklerinden alınacaktır.</w:t>
      </w:r>
    </w:p>
    <w:p w:rsidR="00743A58" w:rsidRDefault="00743A58" w:rsidP="00CA3DA2">
      <w:pPr>
        <w:jc w:val="both"/>
      </w:pPr>
    </w:p>
    <w:p w:rsidR="00743A58" w:rsidRDefault="00536D96" w:rsidP="00CA3DA2">
      <w:pPr>
        <w:jc w:val="both"/>
      </w:pPr>
      <w:r>
        <w:t xml:space="preserve">         7</w:t>
      </w:r>
      <w:r w:rsidR="00914BBA">
        <w:t xml:space="preserve">-Kursiyerlerin tabanca atış </w:t>
      </w:r>
      <w:r w:rsidR="00743A58">
        <w:t>kayıtlarını, eğitimlerin bitirilmesini müteakip kuruma teslim edecektir.</w:t>
      </w:r>
    </w:p>
    <w:p w:rsidR="00681456" w:rsidRDefault="00681456" w:rsidP="00CA3DA2">
      <w:pPr>
        <w:jc w:val="both"/>
      </w:pPr>
      <w:r>
        <w:t xml:space="preserve">         </w:t>
      </w:r>
    </w:p>
    <w:p w:rsidR="00681456" w:rsidRDefault="00681456" w:rsidP="00CA3DA2">
      <w:pPr>
        <w:jc w:val="both"/>
      </w:pPr>
      <w:r>
        <w:t xml:space="preserve">          8-Yüklenici; Özel güvenlik personelinin güvenlik sertifikalarının yenilenmesi için resmi ve özel kurum ve kuruluşlarla olan her türlü iş ve işlemleri yerine getirecektir.</w:t>
      </w:r>
    </w:p>
    <w:p w:rsidR="00681456" w:rsidRDefault="00681456" w:rsidP="00CA3DA2">
      <w:pPr>
        <w:jc w:val="both"/>
      </w:pPr>
    </w:p>
    <w:p w:rsidR="004E41A3" w:rsidRDefault="00681456" w:rsidP="00CA3DA2">
      <w:pPr>
        <w:jc w:val="both"/>
      </w:pPr>
      <w:r>
        <w:lastRenderedPageBreak/>
        <w:t xml:space="preserve">         9-Yüklenici; personelin yenileme eğitimini tamamladıktan sonra, sınava katılmalarını sağlayacak, bunun için sınav belgelerini düzenleyecek ve personele dağıtı</w:t>
      </w:r>
      <w:r w:rsidR="00914BBA">
        <w:t>la</w:t>
      </w:r>
      <w:r>
        <w:t>cak</w:t>
      </w:r>
      <w:r w:rsidR="004E41A3">
        <w:t>, müteakiben açıklanacak sınav sonuçlarına göre, özel güvenlik sertifikalarını düzenleyecek ve Valilikten onaylattıktan sonra idareye teslim edecektir.</w:t>
      </w:r>
    </w:p>
    <w:p w:rsidR="00FF0072" w:rsidRDefault="00FF0072" w:rsidP="00CA3DA2">
      <w:pPr>
        <w:jc w:val="both"/>
      </w:pPr>
    </w:p>
    <w:p w:rsidR="00AA63BC" w:rsidRDefault="00FF0072" w:rsidP="00CA3DA2">
      <w:pPr>
        <w:jc w:val="both"/>
      </w:pPr>
      <w:r>
        <w:t xml:space="preserve">      10-Yenileme eğitimden sonra ilgili kurumca belirlenecek olan tarihte yapılacak sınavla ilgili Emniyet Genel Müdürlüğünün belirttiği hesaba yatırılacak olan</w:t>
      </w:r>
      <w:r w:rsidR="00AA63BC">
        <w:t>,</w:t>
      </w:r>
      <w:r>
        <w:t xml:space="preserve"> </w:t>
      </w:r>
      <w:r w:rsidR="00AA63BC">
        <w:t xml:space="preserve">yalnız </w:t>
      </w:r>
      <w:r w:rsidR="00245D4C">
        <w:t xml:space="preserve">sınav ücreti </w:t>
      </w:r>
      <w:r w:rsidR="00570121">
        <w:t xml:space="preserve">yüklenici </w:t>
      </w:r>
      <w:r>
        <w:t>tarafından ödenecektir.</w:t>
      </w:r>
      <w:r w:rsidR="00914BBA">
        <w:t xml:space="preserve"> </w:t>
      </w:r>
      <w:r>
        <w:t xml:space="preserve">Diğer tüm maliyetler (sertifika düzenlenmesi, sınav belgelerinin hazırlığı, ders kitapları, atış eğitiminde ve sınavda yapılacak atışta sarf edilecek </w:t>
      </w:r>
      <w:r w:rsidR="00AA63BC">
        <w:t>fişek ve benzeri maliyetlerin tümü) yüklenici tarafından karşılanacaktır.</w:t>
      </w:r>
    </w:p>
    <w:p w:rsidR="00AA63BC" w:rsidRDefault="00AA63BC" w:rsidP="00CA3DA2">
      <w:pPr>
        <w:jc w:val="both"/>
      </w:pPr>
    </w:p>
    <w:p w:rsidR="00FF0072" w:rsidRDefault="00AA63BC" w:rsidP="00CA3DA2">
      <w:pPr>
        <w:jc w:val="both"/>
      </w:pPr>
      <w:r>
        <w:t xml:space="preserve">      11-Yenileme eğitiminin tamamlanmasını müteakip, Emniyet Genel Müdürlüğünün belirlediği </w:t>
      </w:r>
      <w:r w:rsidR="00396E96">
        <w:t>2023</w:t>
      </w:r>
      <w:r>
        <w:t xml:space="preserve"> </w:t>
      </w:r>
      <w:r w:rsidR="00570121">
        <w:t>yılındaki</w:t>
      </w:r>
      <w:r>
        <w:t xml:space="preserve"> ilk sınava</w:t>
      </w:r>
      <w:r w:rsidR="00FF0072">
        <w:t xml:space="preserve"> </w:t>
      </w:r>
      <w:r>
        <w:t>yenileme eğitimi gören personelin katılımı yüklenici tarafından sağlanacaktır.</w:t>
      </w:r>
    </w:p>
    <w:p w:rsidR="00AA63BC" w:rsidRDefault="00AA63BC" w:rsidP="00CA3DA2">
      <w:pPr>
        <w:jc w:val="both"/>
      </w:pPr>
    </w:p>
    <w:p w:rsidR="00AA63BC" w:rsidRDefault="00AA63BC" w:rsidP="00CA3DA2">
      <w:pPr>
        <w:jc w:val="both"/>
      </w:pPr>
      <w:r>
        <w:t xml:space="preserve">      12-İçişleri Bakanlığı tarafından yapılacak kanun, yönetmelik ve ilgili mevzuat değişikliklerine yüklenici aynen uyacak ve kabul etmiş sayılacaktır.</w:t>
      </w:r>
      <w:r w:rsidR="00914BBA">
        <w:t xml:space="preserve"> </w:t>
      </w:r>
      <w:r>
        <w:t xml:space="preserve">Bu değişikliğe bağlı olarak </w:t>
      </w:r>
      <w:r w:rsidR="00B409A8">
        <w:t>yükleniciye herhangi bir fiyat farkı ödenmeyecektir.</w:t>
      </w:r>
    </w:p>
    <w:p w:rsidR="00B409A8" w:rsidRDefault="00B409A8" w:rsidP="00CA3DA2">
      <w:pPr>
        <w:jc w:val="both"/>
      </w:pPr>
    </w:p>
    <w:p w:rsidR="00B409A8" w:rsidRDefault="00B409A8" w:rsidP="00CA3DA2">
      <w:pPr>
        <w:jc w:val="both"/>
      </w:pPr>
      <w:r>
        <w:t xml:space="preserve">      13-Yenileme eğitiminin başlaması ile bitimi arasında oluşan süreçte mevzuat gereği yapılacak bildirimlerin (İl Emniyet Müdürlüğüne yapılacak bildirimler, eğitimi tamamlayanların listesi, öğrenci yoklama formları vs.) yasal süresi içerisinde Valilik Makamına yüklenici tarafından bildirilecektir.</w:t>
      </w:r>
      <w:r w:rsidR="00914BBA">
        <w:t xml:space="preserve"> </w:t>
      </w:r>
      <w:r>
        <w:t>Yapılacak t</w:t>
      </w:r>
      <w:r w:rsidR="00132AA8">
        <w:t xml:space="preserve">üm bildirimlerin bir sureti de </w:t>
      </w:r>
      <w:r>
        <w:t xml:space="preserve">kurumumuza da üst yazı ile teslim edilecektir. </w:t>
      </w:r>
    </w:p>
    <w:p w:rsidR="007503F7" w:rsidRDefault="007503F7" w:rsidP="00CA3DA2">
      <w:pPr>
        <w:jc w:val="both"/>
      </w:pPr>
    </w:p>
    <w:p w:rsidR="000F2911" w:rsidRDefault="000F2911" w:rsidP="00CA3DA2">
      <w:pPr>
        <w:jc w:val="both"/>
      </w:pPr>
      <w:r>
        <w:t xml:space="preserve">     14- Özel Güvenlik Görevlilerine verilecek eğitimler </w:t>
      </w:r>
      <w:proofErr w:type="gramStart"/>
      <w:r>
        <w:t>08:00</w:t>
      </w:r>
      <w:proofErr w:type="gramEnd"/>
      <w:r>
        <w:t xml:space="preserve"> – 18:00 saatleri arasında verilecektir.</w:t>
      </w:r>
    </w:p>
    <w:p w:rsidR="000F2911" w:rsidRDefault="000F2911" w:rsidP="00CA3DA2">
      <w:pPr>
        <w:jc w:val="both"/>
      </w:pPr>
      <w:bookmarkStart w:id="0" w:name="_GoBack"/>
      <w:bookmarkEnd w:id="0"/>
    </w:p>
    <w:p w:rsidR="000F2911" w:rsidRDefault="000F2911" w:rsidP="00CA3DA2">
      <w:pPr>
        <w:jc w:val="both"/>
      </w:pPr>
    </w:p>
    <w:p w:rsidR="007503F7" w:rsidRPr="00536D96" w:rsidRDefault="000A3076" w:rsidP="00CA3DA2">
      <w:pPr>
        <w:jc w:val="both"/>
      </w:pPr>
      <w:r>
        <w:rPr>
          <w:u w:val="single"/>
        </w:rPr>
        <w:t>B-</w:t>
      </w:r>
      <w:r w:rsidR="007503F7">
        <w:rPr>
          <w:u w:val="single"/>
        </w:rPr>
        <w:t xml:space="preserve">KURUMUN </w:t>
      </w:r>
      <w:proofErr w:type="gramStart"/>
      <w:r w:rsidR="007503F7">
        <w:rPr>
          <w:u w:val="single"/>
        </w:rPr>
        <w:t>YÜKÜMLÜLÜKLERİ :</w:t>
      </w:r>
      <w:proofErr w:type="gramEnd"/>
    </w:p>
    <w:p w:rsidR="00536D96" w:rsidRDefault="00536D96" w:rsidP="00CA3DA2">
      <w:pPr>
        <w:jc w:val="both"/>
      </w:pPr>
    </w:p>
    <w:p w:rsidR="00536D96" w:rsidRDefault="00536D96" w:rsidP="00CA3DA2">
      <w:pPr>
        <w:jc w:val="both"/>
      </w:pPr>
      <w:r>
        <w:t xml:space="preserve">       </w:t>
      </w:r>
    </w:p>
    <w:p w:rsidR="007503F7" w:rsidRDefault="00536D96" w:rsidP="00CA3DA2">
      <w:pPr>
        <w:jc w:val="both"/>
      </w:pPr>
      <w:r>
        <w:t xml:space="preserve"> </w:t>
      </w:r>
      <w:r w:rsidR="007503F7">
        <w:t xml:space="preserve">         1-Kursiyerlerin, sicil, ad ve soyadı listelerini</w:t>
      </w:r>
      <w:r w:rsidR="00314BB2">
        <w:t xml:space="preserve"> müesseseler itibariyle düzenley</w:t>
      </w:r>
      <w:r w:rsidR="007503F7">
        <w:t>erek, yenileme eğitimleri başlamadan önce yükleniciye</w:t>
      </w:r>
      <w:r w:rsidR="00314BB2">
        <w:t xml:space="preserve"> teslim edecektir.</w:t>
      </w:r>
    </w:p>
    <w:p w:rsidR="00314BB2" w:rsidRDefault="00314BB2" w:rsidP="00CA3DA2">
      <w:pPr>
        <w:jc w:val="both"/>
      </w:pPr>
    </w:p>
    <w:p w:rsidR="00314BB2" w:rsidRDefault="00314BB2" w:rsidP="00CA3DA2">
      <w:pPr>
        <w:jc w:val="both"/>
      </w:pPr>
      <w:r>
        <w:t xml:space="preserve">         2-Genel Müdürlük ve müesseselerde, yenileme eğitimi verilecek salonları tahsis edecek, sayısını ve yerlerini eğitimler başlamadan önce yükleniciye bildirecektir.</w:t>
      </w:r>
    </w:p>
    <w:p w:rsidR="00314BB2" w:rsidRDefault="00314BB2" w:rsidP="00CA3DA2">
      <w:pPr>
        <w:jc w:val="both"/>
      </w:pPr>
    </w:p>
    <w:p w:rsidR="00314BB2" w:rsidRDefault="00314BB2" w:rsidP="00CA3DA2">
      <w:pPr>
        <w:jc w:val="both"/>
      </w:pPr>
      <w:r>
        <w:t xml:space="preserve">         3-Kursiyerlerin eğitim s</w:t>
      </w:r>
      <w:r w:rsidR="0065168E">
        <w:t>alonlarında kullanacağı öğretmen masa ve sandalyesi, yazı tahtası, kursiyer sıra ve masaları</w:t>
      </w:r>
      <w:r>
        <w:t xml:space="preserve"> noksansız temin edecektir.</w:t>
      </w:r>
    </w:p>
    <w:p w:rsidR="00314BB2" w:rsidRDefault="00314BB2" w:rsidP="00CA3DA2">
      <w:pPr>
        <w:jc w:val="both"/>
      </w:pPr>
    </w:p>
    <w:p w:rsidR="00D45217" w:rsidRDefault="00D45217" w:rsidP="00CA3DA2">
      <w:pPr>
        <w:jc w:val="both"/>
      </w:pPr>
    </w:p>
    <w:p w:rsidR="00D45217" w:rsidRDefault="00D45217" w:rsidP="00CA3DA2">
      <w:pPr>
        <w:jc w:val="both"/>
      </w:pPr>
    </w:p>
    <w:p w:rsidR="00314BB2" w:rsidRPr="00314BB2" w:rsidRDefault="00361C80" w:rsidP="00CA3DA2">
      <w:pPr>
        <w:jc w:val="both"/>
      </w:pPr>
      <w:r>
        <w:rPr>
          <w:u w:val="single"/>
        </w:rPr>
        <w:t>IX-</w:t>
      </w:r>
      <w:r w:rsidR="003937B0">
        <w:rPr>
          <w:u w:val="single"/>
        </w:rPr>
        <w:t xml:space="preserve"> </w:t>
      </w:r>
      <w:proofErr w:type="gramStart"/>
      <w:r w:rsidR="003937B0">
        <w:rPr>
          <w:u w:val="single"/>
        </w:rPr>
        <w:t>DİĞER  HÜKÜMLER</w:t>
      </w:r>
      <w:proofErr w:type="gramEnd"/>
      <w:r w:rsidR="00314BB2">
        <w:rPr>
          <w:u w:val="single"/>
        </w:rPr>
        <w:t>:</w:t>
      </w:r>
    </w:p>
    <w:p w:rsidR="009E7BA6" w:rsidRDefault="009E7BA6" w:rsidP="00CA3DA2">
      <w:pPr>
        <w:jc w:val="both"/>
      </w:pPr>
    </w:p>
    <w:p w:rsidR="00314BB2" w:rsidRDefault="00314BB2" w:rsidP="00CA3DA2">
      <w:pPr>
        <w:jc w:val="both"/>
      </w:pPr>
      <w:r>
        <w:t xml:space="preserve">         1-Yenileme eğitimlerinin, kurumun güvenlik hizmetlerini aksatmayacak şekilde yapılması esastır.</w:t>
      </w:r>
    </w:p>
    <w:p w:rsidR="006573EE" w:rsidRDefault="006573EE" w:rsidP="00CA3DA2">
      <w:pPr>
        <w:jc w:val="both"/>
      </w:pPr>
    </w:p>
    <w:p w:rsidR="006573EE" w:rsidRDefault="006573EE" w:rsidP="00CA3DA2">
      <w:pPr>
        <w:jc w:val="both"/>
      </w:pPr>
      <w:r>
        <w:t xml:space="preserve">         2-Yenileme eğitimi 60 (altmış) ders saatinden oluşmaktadır. Yenileme eğitiminin </w:t>
      </w:r>
      <w:r w:rsidR="00192622">
        <w:t>10</w:t>
      </w:r>
      <w:r>
        <w:t xml:space="preserve"> (</w:t>
      </w:r>
      <w:r w:rsidR="00192622">
        <w:t>on</w:t>
      </w:r>
      <w:r>
        <w:t>) saati silah eğitimini kapsar.</w:t>
      </w:r>
    </w:p>
    <w:p w:rsidR="006573EE" w:rsidRDefault="006573EE" w:rsidP="00CA3DA2">
      <w:pPr>
        <w:jc w:val="both"/>
      </w:pPr>
    </w:p>
    <w:p w:rsidR="006573EE" w:rsidRDefault="006573EE" w:rsidP="00CA3DA2">
      <w:pPr>
        <w:jc w:val="both"/>
      </w:pPr>
      <w:r>
        <w:t xml:space="preserve">         3-Eğitim programı olarak, </w:t>
      </w:r>
      <w:r w:rsidR="00192622">
        <w:t>5188 sayılı Özel Güvenlik Hizmetlerine Dair Kanun ve Uygulanmasına İlişkin Yönetmelik kapsamında,</w:t>
      </w:r>
      <w:r w:rsidR="00192622" w:rsidRPr="003C41E9">
        <w:t xml:space="preserve"> </w:t>
      </w:r>
      <w:r w:rsidR="00192622">
        <w:t xml:space="preserve">17.07.2012 tarihli İçişleri Bakanlığı 2012/42 sayılı genelgesi ve Emniyet Genel Müdürlüğünün 2012/71 sayılı Genelgesinde ki “Özel Güvenlik Yenileme Eğitimi Programı” </w:t>
      </w:r>
      <w:proofErr w:type="gramStart"/>
      <w:r w:rsidR="00192622">
        <w:t>dahilin</w:t>
      </w:r>
      <w:proofErr w:type="gramEnd"/>
      <w:r w:rsidR="00914BBA">
        <w:t xml:space="preserve"> </w:t>
      </w:r>
      <w:r w:rsidR="00192622">
        <w:t>de, Emniyet Genel Müdürlüğü tarafından tavsiye edilen kitaplar esas alınarak uygulanacaktır.</w:t>
      </w:r>
    </w:p>
    <w:p w:rsidR="006573EE" w:rsidRDefault="006573EE" w:rsidP="00CA3DA2">
      <w:pPr>
        <w:jc w:val="both"/>
      </w:pPr>
    </w:p>
    <w:p w:rsidR="00FC2D30" w:rsidRDefault="006573EE" w:rsidP="00CA3DA2">
      <w:pPr>
        <w:jc w:val="both"/>
      </w:pPr>
      <w:r>
        <w:t xml:space="preserve">         </w:t>
      </w:r>
      <w:r w:rsidR="003937B0">
        <w:t>4</w:t>
      </w:r>
      <w:r w:rsidR="005C2948">
        <w:t>-</w:t>
      </w:r>
      <w:r w:rsidR="00B409A8">
        <w:t xml:space="preserve">Hastalık, sağlık raporu vb. zorunlu hallerde yenileme eğitimine katılamayan kurumumuz özel güvenlik personeline ilave eğitim </w:t>
      </w:r>
      <w:r w:rsidR="003937B0">
        <w:t>yaptırılarak</w:t>
      </w:r>
      <w:r w:rsidR="00192622">
        <w:t>,</w:t>
      </w:r>
      <w:r w:rsidR="003937B0">
        <w:t xml:space="preserve"> </w:t>
      </w:r>
      <w:r w:rsidR="00AC12F0">
        <w:t>31.12.2023</w:t>
      </w:r>
      <w:r w:rsidR="003937B0">
        <w:t xml:space="preserve"> tarihine kadar eğitimler</w:t>
      </w:r>
      <w:r w:rsidR="00192622">
        <w:t>ini tamamlaması sağlanacaktır.</w:t>
      </w:r>
    </w:p>
    <w:p w:rsidR="00FC2D30" w:rsidRDefault="00FC2D30" w:rsidP="00CA3DA2">
      <w:pPr>
        <w:jc w:val="both"/>
      </w:pPr>
    </w:p>
    <w:p w:rsidR="006573EE" w:rsidRDefault="00FC2D30" w:rsidP="00CA3DA2">
      <w:pPr>
        <w:jc w:val="both"/>
      </w:pPr>
      <w:r>
        <w:t xml:space="preserve">         5-Özel güvenlik görevlilerinin müesseselere göre dağılım listesinde mevcut olan </w:t>
      </w:r>
      <w:r w:rsidR="00396E96">
        <w:t>135</w:t>
      </w:r>
      <w:r w:rsidR="009E3869">
        <w:t xml:space="preserve"> </w:t>
      </w:r>
      <w:r w:rsidR="00192622">
        <w:t xml:space="preserve">silahlı ve </w:t>
      </w:r>
      <w:r w:rsidR="00396E96">
        <w:t>3</w:t>
      </w:r>
      <w:r w:rsidR="00192622">
        <w:t xml:space="preserve"> silahsız olmak üzere toplam </w:t>
      </w:r>
      <w:r w:rsidR="00396E96">
        <w:t>138</w:t>
      </w:r>
      <w:r w:rsidR="00B4273B">
        <w:t xml:space="preserve"> </w:t>
      </w:r>
      <w:r w:rsidR="00192622">
        <w:t>özel güvenlik görevlisi sayısında,</w:t>
      </w:r>
      <w:r>
        <w:t xml:space="preserve"> emeklilik veya vefat nedeniyle eksilmeler olduğu takdirde, belirlenen grupların eğitimlerine başlandığı tarihlerdeki mevcut sayı</w:t>
      </w:r>
      <w:r w:rsidR="00536D96">
        <w:t>lara göre eğitim yaptırılacak ve hizmet alımı bedelleri buna göre ödenecektir.</w:t>
      </w:r>
    </w:p>
    <w:p w:rsidR="00327515" w:rsidRDefault="00327515" w:rsidP="00CA3DA2">
      <w:pPr>
        <w:jc w:val="both"/>
      </w:pPr>
    </w:p>
    <w:p w:rsidR="00327515" w:rsidRDefault="00327515" w:rsidP="00CA3DA2">
      <w:pPr>
        <w:jc w:val="both"/>
      </w:pPr>
      <w:r>
        <w:t xml:space="preserve">       6-Yüklenici, görevi kapsamına giren konularda, sorumlu olan birimlere bilgi aktarılmasını ve gerekli bilgileri içeren rapor ve tutanakların düze</w:t>
      </w:r>
      <w:r w:rsidR="00B4273B">
        <w:t xml:space="preserve">nlenmesini ve </w:t>
      </w:r>
      <w:r w:rsidR="00E63BF9">
        <w:t xml:space="preserve">Personel Daire Başkanlığına </w:t>
      </w:r>
      <w:r>
        <w:t>iletilmesini sağlayacaktır.</w:t>
      </w:r>
    </w:p>
    <w:p w:rsidR="00327515" w:rsidRDefault="00327515" w:rsidP="00CA3DA2">
      <w:pPr>
        <w:jc w:val="both"/>
      </w:pPr>
    </w:p>
    <w:p w:rsidR="00327515" w:rsidRDefault="00327515" w:rsidP="00CA3DA2">
      <w:pPr>
        <w:jc w:val="both"/>
      </w:pPr>
      <w:r>
        <w:t xml:space="preserve">       7-Yenileme eğitimi sırasında kurumdan görevlendirilecek olan bir personelin gözlemci olarak derse katılımı sağlanacaktır.</w:t>
      </w:r>
    </w:p>
    <w:p w:rsidR="00327515" w:rsidRDefault="00327515" w:rsidP="00CA3DA2">
      <w:pPr>
        <w:jc w:val="both"/>
      </w:pPr>
    </w:p>
    <w:p w:rsidR="00327515" w:rsidRDefault="00327515" w:rsidP="00CA3DA2">
      <w:pPr>
        <w:jc w:val="both"/>
      </w:pPr>
      <w:r>
        <w:t xml:space="preserve">       8-Bu şartnamede hüküm bulunmayan hallerde 5188 sayılı Özel Güvenlik Hizmetlerine Dair Kanun ve Uygulanmasına İlişkin Yönetmelik ve bu mevzuatın uygulanması ile yayınlanmış genelgelerde meydana gelebilecek değişiklikler ile İçişleri Bakanlığı veya Emniyet Genel Müdürlüğü tarafından alınmış veya alınacak kararlar uygulanacaktır.</w:t>
      </w:r>
    </w:p>
    <w:p w:rsidR="003937B0" w:rsidRDefault="003937B0" w:rsidP="00CA3DA2">
      <w:pPr>
        <w:jc w:val="both"/>
        <w:rPr>
          <w:u w:val="single"/>
        </w:rPr>
      </w:pPr>
    </w:p>
    <w:p w:rsidR="00DB4EAF" w:rsidRDefault="004619E2" w:rsidP="004619E2">
      <w:r>
        <w:t xml:space="preserve">        9-Personelin yenileme eğitimi tamamlanıp güvenlik sert</w:t>
      </w:r>
      <w:r w:rsidR="00132AA8">
        <w:t xml:space="preserve">ifikaları yüklenici tarafından </w:t>
      </w:r>
      <w:r>
        <w:t xml:space="preserve">düzenlenerek Valilikten onaylanarak kuruma teslim edildikten sonra, </w:t>
      </w:r>
      <w:r w:rsidR="00DB4EAF">
        <w:t>yüklenici tarafından</w:t>
      </w:r>
      <w:r w:rsidR="00536D96">
        <w:t xml:space="preserve"> düzenlenecek faturanın bedeli </w:t>
      </w:r>
      <w:r w:rsidR="00DB4EAF">
        <w:t>kurumca, yüklenicinin banka hesabına yatırılacaktır.</w:t>
      </w: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2A4684" w:rsidRDefault="002A4684" w:rsidP="00CA3DA2">
      <w:pPr>
        <w:jc w:val="both"/>
      </w:pPr>
    </w:p>
    <w:p w:rsidR="00956291" w:rsidRDefault="00956291" w:rsidP="00CA3DA2">
      <w:pPr>
        <w:jc w:val="both"/>
      </w:pPr>
    </w:p>
    <w:p w:rsidR="00956291" w:rsidRDefault="00956291" w:rsidP="00CA3DA2">
      <w:pPr>
        <w:jc w:val="both"/>
      </w:pPr>
    </w:p>
    <w:p w:rsidR="00956291" w:rsidRDefault="00956291" w:rsidP="00CA3DA2">
      <w:pPr>
        <w:jc w:val="both"/>
      </w:pPr>
    </w:p>
    <w:p w:rsidR="00956291" w:rsidRDefault="00956291" w:rsidP="00CA3DA2">
      <w:pPr>
        <w:jc w:val="both"/>
      </w:pPr>
    </w:p>
    <w:p w:rsidR="00956291" w:rsidRDefault="00956291" w:rsidP="00CA3DA2">
      <w:pPr>
        <w:jc w:val="both"/>
      </w:pPr>
    </w:p>
    <w:p w:rsidR="00956291" w:rsidRDefault="00956291" w:rsidP="00CA3DA2">
      <w:pPr>
        <w:jc w:val="both"/>
      </w:pPr>
    </w:p>
    <w:p w:rsidR="00956291" w:rsidRDefault="00956291" w:rsidP="00CA3DA2">
      <w:pPr>
        <w:jc w:val="both"/>
      </w:pPr>
    </w:p>
    <w:p w:rsidR="002A4684" w:rsidRDefault="002A4684" w:rsidP="00CA3DA2">
      <w:pPr>
        <w:jc w:val="both"/>
      </w:pPr>
    </w:p>
    <w:p w:rsidR="002A4684" w:rsidRDefault="002A4684" w:rsidP="002A4684">
      <w:pPr>
        <w:jc w:val="center"/>
        <w:rPr>
          <w:b/>
        </w:rPr>
      </w:pPr>
      <w:r w:rsidRPr="004A7F5B">
        <w:rPr>
          <w:b/>
        </w:rPr>
        <w:t>TÜRKİYE TAŞKÖMÜRÜ KURUMU GENEL MÜDÜRLÜĞÜ</w:t>
      </w:r>
    </w:p>
    <w:p w:rsidR="002A4684" w:rsidRDefault="002A4684" w:rsidP="002A4684">
      <w:pPr>
        <w:jc w:val="center"/>
        <w:rPr>
          <w:b/>
        </w:rPr>
      </w:pPr>
      <w:r>
        <w:rPr>
          <w:b/>
        </w:rPr>
        <w:t xml:space="preserve"> ÖZEL GÜVENLİK GÖREVLİSİ </w:t>
      </w:r>
      <w:r w:rsidR="00ED68B8">
        <w:rPr>
          <w:b/>
        </w:rPr>
        <w:t>YENİLEME EĞİTİMİ</w:t>
      </w:r>
    </w:p>
    <w:p w:rsidR="002A4684" w:rsidRDefault="00ED68B8" w:rsidP="002A4684">
      <w:pPr>
        <w:jc w:val="center"/>
        <w:rPr>
          <w:b/>
        </w:rPr>
      </w:pPr>
      <w:r>
        <w:rPr>
          <w:b/>
        </w:rPr>
        <w:t xml:space="preserve">VERİLECEK PERSONEL </w:t>
      </w:r>
      <w:r w:rsidR="00670B08">
        <w:rPr>
          <w:b/>
        </w:rPr>
        <w:t xml:space="preserve">DAĞILIM </w:t>
      </w:r>
      <w:r w:rsidR="002A4684">
        <w:rPr>
          <w:b/>
        </w:rPr>
        <w:t>CETVELİ</w:t>
      </w:r>
    </w:p>
    <w:p w:rsidR="002A4684" w:rsidRDefault="002A4684" w:rsidP="002A4684">
      <w:pPr>
        <w:jc w:val="center"/>
        <w:rPr>
          <w:b/>
        </w:rPr>
      </w:pPr>
    </w:p>
    <w:tbl>
      <w:tblPr>
        <w:tblW w:w="716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2160"/>
        <w:gridCol w:w="2140"/>
        <w:gridCol w:w="2140"/>
      </w:tblGrid>
      <w:tr w:rsidR="00B4273B" w:rsidRPr="00B80D78" w:rsidTr="00B4273B">
        <w:trPr>
          <w:trHeight w:val="565"/>
          <w:jc w:val="center"/>
        </w:trPr>
        <w:tc>
          <w:tcPr>
            <w:tcW w:w="720" w:type="dxa"/>
            <w:vAlign w:val="center"/>
          </w:tcPr>
          <w:p w:rsidR="00B4273B" w:rsidRPr="00B80D78" w:rsidRDefault="00B4273B" w:rsidP="00E3497D">
            <w:pPr>
              <w:jc w:val="center"/>
              <w:rPr>
                <w:b/>
              </w:rPr>
            </w:pPr>
            <w:r w:rsidRPr="00B80D78">
              <w:rPr>
                <w:b/>
              </w:rPr>
              <w:t>Sıra No</w:t>
            </w:r>
          </w:p>
        </w:tc>
        <w:tc>
          <w:tcPr>
            <w:tcW w:w="2160" w:type="dxa"/>
            <w:vAlign w:val="center"/>
          </w:tcPr>
          <w:p w:rsidR="00B4273B" w:rsidRPr="00B80D78" w:rsidRDefault="00B4273B" w:rsidP="00E3497D">
            <w:pPr>
              <w:jc w:val="center"/>
              <w:rPr>
                <w:b/>
              </w:rPr>
            </w:pPr>
            <w:r w:rsidRPr="00B80D78">
              <w:rPr>
                <w:b/>
              </w:rPr>
              <w:t>Eğitim Yeri</w:t>
            </w:r>
          </w:p>
        </w:tc>
        <w:tc>
          <w:tcPr>
            <w:tcW w:w="2140" w:type="dxa"/>
            <w:vAlign w:val="center"/>
          </w:tcPr>
          <w:p w:rsidR="00B4273B" w:rsidRPr="00B80D78" w:rsidRDefault="00B4273B" w:rsidP="00E3497D">
            <w:pPr>
              <w:jc w:val="center"/>
              <w:rPr>
                <w:b/>
              </w:rPr>
            </w:pPr>
            <w:r>
              <w:rPr>
                <w:b/>
              </w:rPr>
              <w:t xml:space="preserve">Yenileme </w:t>
            </w:r>
            <w:r w:rsidRPr="00B80D78">
              <w:rPr>
                <w:b/>
              </w:rPr>
              <w:t>Eğitim</w:t>
            </w:r>
            <w:r>
              <w:rPr>
                <w:b/>
              </w:rPr>
              <w:t>i</w:t>
            </w:r>
            <w:r w:rsidRPr="00B80D78">
              <w:rPr>
                <w:b/>
              </w:rPr>
              <w:t xml:space="preserve"> Verilecek </w:t>
            </w:r>
            <w:r>
              <w:rPr>
                <w:b/>
              </w:rPr>
              <w:t xml:space="preserve">Silahlı Özel Güvenlik </w:t>
            </w:r>
            <w:r w:rsidRPr="00B80D78">
              <w:rPr>
                <w:b/>
              </w:rPr>
              <w:t>Personel Sayısı</w:t>
            </w:r>
          </w:p>
        </w:tc>
        <w:tc>
          <w:tcPr>
            <w:tcW w:w="2140" w:type="dxa"/>
            <w:shd w:val="clear" w:color="auto" w:fill="auto"/>
            <w:vAlign w:val="center"/>
          </w:tcPr>
          <w:p w:rsidR="00B4273B" w:rsidRPr="00B80D78" w:rsidRDefault="00B4273B" w:rsidP="00E3497D">
            <w:pPr>
              <w:jc w:val="center"/>
              <w:rPr>
                <w:b/>
              </w:rPr>
            </w:pPr>
            <w:r>
              <w:rPr>
                <w:b/>
              </w:rPr>
              <w:t xml:space="preserve">Yenileme </w:t>
            </w:r>
            <w:r w:rsidRPr="00B80D78">
              <w:rPr>
                <w:b/>
              </w:rPr>
              <w:t>Eğitim</w:t>
            </w:r>
            <w:r>
              <w:rPr>
                <w:b/>
              </w:rPr>
              <w:t>i</w:t>
            </w:r>
            <w:r w:rsidRPr="00B80D78">
              <w:rPr>
                <w:b/>
              </w:rPr>
              <w:t xml:space="preserve"> Verilecek </w:t>
            </w:r>
            <w:r>
              <w:rPr>
                <w:b/>
              </w:rPr>
              <w:t xml:space="preserve">Silahsız Özel Güvenlik </w:t>
            </w:r>
            <w:r w:rsidRPr="00B80D78">
              <w:rPr>
                <w:b/>
              </w:rPr>
              <w:t>Personel Sayısı</w:t>
            </w:r>
          </w:p>
        </w:tc>
      </w:tr>
      <w:tr w:rsidR="00B4273B" w:rsidRPr="00B80D78" w:rsidTr="00B4273B">
        <w:trPr>
          <w:jc w:val="center"/>
        </w:trPr>
        <w:tc>
          <w:tcPr>
            <w:tcW w:w="720" w:type="dxa"/>
            <w:vAlign w:val="center"/>
          </w:tcPr>
          <w:p w:rsidR="00B4273B" w:rsidRPr="00B80D78" w:rsidRDefault="00B4273B" w:rsidP="00E3497D">
            <w:pPr>
              <w:jc w:val="center"/>
              <w:rPr>
                <w:b/>
              </w:rPr>
            </w:pPr>
            <w:r>
              <w:rPr>
                <w:b/>
              </w:rPr>
              <w:t>1</w:t>
            </w:r>
          </w:p>
        </w:tc>
        <w:tc>
          <w:tcPr>
            <w:tcW w:w="2160" w:type="dxa"/>
            <w:vAlign w:val="center"/>
          </w:tcPr>
          <w:p w:rsidR="00B4273B" w:rsidRPr="00B80D78" w:rsidRDefault="00B4273B" w:rsidP="00E3497D">
            <w:pPr>
              <w:jc w:val="center"/>
              <w:rPr>
                <w:b/>
              </w:rPr>
            </w:pPr>
            <w:proofErr w:type="spellStart"/>
            <w:r w:rsidRPr="00B80D78">
              <w:rPr>
                <w:b/>
              </w:rPr>
              <w:t>Armutçuk</w:t>
            </w:r>
            <w:proofErr w:type="spellEnd"/>
            <w:r>
              <w:rPr>
                <w:b/>
              </w:rPr>
              <w:t xml:space="preserve"> Taşkömürü İşletme Müdürlüğü</w:t>
            </w:r>
          </w:p>
        </w:tc>
        <w:tc>
          <w:tcPr>
            <w:tcW w:w="2140" w:type="dxa"/>
            <w:vAlign w:val="center"/>
          </w:tcPr>
          <w:p w:rsidR="00B4273B" w:rsidRPr="00B80D78" w:rsidRDefault="00396E96" w:rsidP="00E3497D">
            <w:pPr>
              <w:jc w:val="center"/>
              <w:rPr>
                <w:b/>
              </w:rPr>
            </w:pPr>
            <w:r>
              <w:rPr>
                <w:b/>
              </w:rPr>
              <w:t>21</w:t>
            </w:r>
          </w:p>
        </w:tc>
        <w:tc>
          <w:tcPr>
            <w:tcW w:w="2140" w:type="dxa"/>
            <w:shd w:val="clear" w:color="auto" w:fill="auto"/>
            <w:vAlign w:val="center"/>
          </w:tcPr>
          <w:p w:rsidR="00B4273B" w:rsidRPr="00B80D78" w:rsidRDefault="00396E96" w:rsidP="00E3497D">
            <w:pPr>
              <w:jc w:val="center"/>
              <w:rPr>
                <w:b/>
              </w:rPr>
            </w:pPr>
            <w:r>
              <w:rPr>
                <w:b/>
              </w:rPr>
              <w:t>-</w:t>
            </w:r>
          </w:p>
        </w:tc>
      </w:tr>
      <w:tr w:rsidR="00B4273B" w:rsidRPr="00B80D78" w:rsidTr="00B4273B">
        <w:trPr>
          <w:jc w:val="center"/>
        </w:trPr>
        <w:tc>
          <w:tcPr>
            <w:tcW w:w="720" w:type="dxa"/>
            <w:vAlign w:val="center"/>
          </w:tcPr>
          <w:p w:rsidR="00B4273B" w:rsidRPr="00B80D78" w:rsidRDefault="00B4273B" w:rsidP="00E3497D">
            <w:pPr>
              <w:jc w:val="center"/>
              <w:rPr>
                <w:b/>
              </w:rPr>
            </w:pPr>
            <w:r>
              <w:rPr>
                <w:b/>
              </w:rPr>
              <w:t>2</w:t>
            </w:r>
          </w:p>
        </w:tc>
        <w:tc>
          <w:tcPr>
            <w:tcW w:w="2160" w:type="dxa"/>
            <w:vAlign w:val="center"/>
          </w:tcPr>
          <w:p w:rsidR="00B4273B" w:rsidRPr="00B80D78" w:rsidRDefault="00B4273B" w:rsidP="00E3497D">
            <w:pPr>
              <w:jc w:val="center"/>
              <w:rPr>
                <w:b/>
              </w:rPr>
            </w:pPr>
            <w:r w:rsidRPr="00B80D78">
              <w:rPr>
                <w:b/>
              </w:rPr>
              <w:t>Amasra</w:t>
            </w:r>
            <w:r>
              <w:rPr>
                <w:b/>
              </w:rPr>
              <w:t xml:space="preserve"> Taşkömürü İşletme Müdürlüğü</w:t>
            </w:r>
          </w:p>
        </w:tc>
        <w:tc>
          <w:tcPr>
            <w:tcW w:w="2140" w:type="dxa"/>
            <w:vAlign w:val="center"/>
          </w:tcPr>
          <w:p w:rsidR="00B4273B" w:rsidRPr="00B80D78" w:rsidRDefault="00396E96" w:rsidP="00E3497D">
            <w:pPr>
              <w:jc w:val="center"/>
              <w:rPr>
                <w:b/>
              </w:rPr>
            </w:pPr>
            <w:r>
              <w:rPr>
                <w:b/>
              </w:rPr>
              <w:t>24</w:t>
            </w:r>
          </w:p>
        </w:tc>
        <w:tc>
          <w:tcPr>
            <w:tcW w:w="2140" w:type="dxa"/>
            <w:shd w:val="clear" w:color="auto" w:fill="auto"/>
            <w:vAlign w:val="center"/>
          </w:tcPr>
          <w:p w:rsidR="00B4273B" w:rsidRPr="00B80D78" w:rsidRDefault="00396E96" w:rsidP="00E3497D">
            <w:pPr>
              <w:jc w:val="center"/>
              <w:rPr>
                <w:b/>
              </w:rPr>
            </w:pPr>
            <w:r>
              <w:rPr>
                <w:b/>
              </w:rPr>
              <w:t>-</w:t>
            </w:r>
          </w:p>
        </w:tc>
      </w:tr>
      <w:tr w:rsidR="00B4273B" w:rsidRPr="00B80D78" w:rsidTr="00B4273B">
        <w:trPr>
          <w:jc w:val="center"/>
        </w:trPr>
        <w:tc>
          <w:tcPr>
            <w:tcW w:w="720" w:type="dxa"/>
            <w:vAlign w:val="center"/>
          </w:tcPr>
          <w:p w:rsidR="00B4273B" w:rsidRPr="00B80D78" w:rsidRDefault="00B4273B" w:rsidP="00E3497D">
            <w:pPr>
              <w:jc w:val="center"/>
              <w:rPr>
                <w:b/>
              </w:rPr>
            </w:pPr>
            <w:r>
              <w:rPr>
                <w:b/>
              </w:rPr>
              <w:t>3</w:t>
            </w:r>
          </w:p>
        </w:tc>
        <w:tc>
          <w:tcPr>
            <w:tcW w:w="2160" w:type="dxa"/>
            <w:vAlign w:val="center"/>
          </w:tcPr>
          <w:p w:rsidR="00B4273B" w:rsidRPr="00B80D78" w:rsidRDefault="00B4273B" w:rsidP="00E3497D">
            <w:pPr>
              <w:jc w:val="center"/>
              <w:rPr>
                <w:b/>
              </w:rPr>
            </w:pPr>
            <w:r w:rsidRPr="00B80D78">
              <w:rPr>
                <w:b/>
              </w:rPr>
              <w:t>Üzülmez</w:t>
            </w:r>
            <w:r>
              <w:rPr>
                <w:b/>
              </w:rPr>
              <w:t xml:space="preserve"> Taşkömürü İşletme Müdürlüğü</w:t>
            </w:r>
          </w:p>
        </w:tc>
        <w:tc>
          <w:tcPr>
            <w:tcW w:w="2140" w:type="dxa"/>
            <w:vAlign w:val="center"/>
          </w:tcPr>
          <w:p w:rsidR="00B4273B" w:rsidRPr="00B80D78" w:rsidRDefault="00AC12F0" w:rsidP="00E3497D">
            <w:pPr>
              <w:jc w:val="center"/>
              <w:rPr>
                <w:b/>
              </w:rPr>
            </w:pPr>
            <w:r>
              <w:rPr>
                <w:b/>
              </w:rPr>
              <w:t>42</w:t>
            </w:r>
          </w:p>
        </w:tc>
        <w:tc>
          <w:tcPr>
            <w:tcW w:w="2140" w:type="dxa"/>
            <w:shd w:val="clear" w:color="auto" w:fill="auto"/>
            <w:vAlign w:val="center"/>
          </w:tcPr>
          <w:p w:rsidR="00B4273B" w:rsidRPr="00B80D78" w:rsidRDefault="00B4273B" w:rsidP="00E3497D">
            <w:pPr>
              <w:jc w:val="center"/>
              <w:rPr>
                <w:b/>
              </w:rPr>
            </w:pPr>
            <w:r>
              <w:rPr>
                <w:b/>
              </w:rPr>
              <w:t>2</w:t>
            </w:r>
          </w:p>
        </w:tc>
      </w:tr>
      <w:tr w:rsidR="00B4273B" w:rsidRPr="00B80D78" w:rsidTr="00B4273B">
        <w:trPr>
          <w:jc w:val="center"/>
        </w:trPr>
        <w:tc>
          <w:tcPr>
            <w:tcW w:w="720" w:type="dxa"/>
            <w:vAlign w:val="center"/>
          </w:tcPr>
          <w:p w:rsidR="00B4273B" w:rsidRPr="00B80D78" w:rsidRDefault="00B4273B" w:rsidP="00E3497D">
            <w:pPr>
              <w:jc w:val="center"/>
              <w:rPr>
                <w:b/>
              </w:rPr>
            </w:pPr>
            <w:r>
              <w:rPr>
                <w:b/>
              </w:rPr>
              <w:t>4</w:t>
            </w:r>
          </w:p>
        </w:tc>
        <w:tc>
          <w:tcPr>
            <w:tcW w:w="2160" w:type="dxa"/>
            <w:vAlign w:val="center"/>
          </w:tcPr>
          <w:p w:rsidR="00B4273B" w:rsidRPr="00B80D78" w:rsidRDefault="00B4273B" w:rsidP="00E3497D">
            <w:pPr>
              <w:jc w:val="center"/>
              <w:rPr>
                <w:b/>
              </w:rPr>
            </w:pPr>
            <w:proofErr w:type="spellStart"/>
            <w:r w:rsidRPr="00B80D78">
              <w:rPr>
                <w:b/>
              </w:rPr>
              <w:t>Karadon</w:t>
            </w:r>
            <w:proofErr w:type="spellEnd"/>
            <w:r>
              <w:rPr>
                <w:b/>
              </w:rPr>
              <w:t xml:space="preserve"> Taşkömürü İşletme Müdürlüğü</w:t>
            </w:r>
          </w:p>
        </w:tc>
        <w:tc>
          <w:tcPr>
            <w:tcW w:w="2140" w:type="dxa"/>
            <w:vAlign w:val="center"/>
          </w:tcPr>
          <w:p w:rsidR="00B4273B" w:rsidRPr="00B80D78" w:rsidRDefault="00AC12F0" w:rsidP="00E3497D">
            <w:pPr>
              <w:jc w:val="center"/>
              <w:rPr>
                <w:b/>
              </w:rPr>
            </w:pPr>
            <w:r>
              <w:rPr>
                <w:b/>
              </w:rPr>
              <w:t>18</w:t>
            </w:r>
          </w:p>
        </w:tc>
        <w:tc>
          <w:tcPr>
            <w:tcW w:w="2140" w:type="dxa"/>
            <w:shd w:val="clear" w:color="auto" w:fill="auto"/>
            <w:vAlign w:val="center"/>
          </w:tcPr>
          <w:p w:rsidR="00B4273B" w:rsidRPr="00B80D78" w:rsidRDefault="00AC12F0" w:rsidP="00E3497D">
            <w:pPr>
              <w:jc w:val="center"/>
              <w:rPr>
                <w:b/>
              </w:rPr>
            </w:pPr>
            <w:r>
              <w:rPr>
                <w:b/>
              </w:rPr>
              <w:t>1</w:t>
            </w:r>
          </w:p>
        </w:tc>
      </w:tr>
      <w:tr w:rsidR="00B4273B" w:rsidRPr="00B80D78" w:rsidTr="00B4273B">
        <w:trPr>
          <w:jc w:val="center"/>
        </w:trPr>
        <w:tc>
          <w:tcPr>
            <w:tcW w:w="720" w:type="dxa"/>
            <w:vAlign w:val="center"/>
          </w:tcPr>
          <w:p w:rsidR="00B4273B" w:rsidRPr="00B80D78" w:rsidRDefault="00B4273B" w:rsidP="00E3497D">
            <w:pPr>
              <w:jc w:val="center"/>
              <w:rPr>
                <w:b/>
              </w:rPr>
            </w:pPr>
            <w:r>
              <w:rPr>
                <w:b/>
              </w:rPr>
              <w:t>5</w:t>
            </w:r>
          </w:p>
        </w:tc>
        <w:tc>
          <w:tcPr>
            <w:tcW w:w="2160" w:type="dxa"/>
            <w:vAlign w:val="center"/>
          </w:tcPr>
          <w:p w:rsidR="00B4273B" w:rsidRPr="00B80D78" w:rsidRDefault="00B4273B" w:rsidP="00E3497D">
            <w:pPr>
              <w:jc w:val="center"/>
              <w:rPr>
                <w:b/>
              </w:rPr>
            </w:pPr>
            <w:r w:rsidRPr="00B80D78">
              <w:rPr>
                <w:b/>
              </w:rPr>
              <w:t>Kozlu</w:t>
            </w:r>
            <w:r>
              <w:rPr>
                <w:b/>
              </w:rPr>
              <w:t xml:space="preserve"> Taşkömürü İşletme Müdürlüğü</w:t>
            </w:r>
          </w:p>
        </w:tc>
        <w:tc>
          <w:tcPr>
            <w:tcW w:w="2140" w:type="dxa"/>
            <w:vAlign w:val="center"/>
          </w:tcPr>
          <w:p w:rsidR="00B4273B" w:rsidRPr="00B80D78" w:rsidRDefault="00AC12F0" w:rsidP="00E3497D">
            <w:pPr>
              <w:jc w:val="center"/>
              <w:rPr>
                <w:b/>
              </w:rPr>
            </w:pPr>
            <w:r>
              <w:rPr>
                <w:b/>
              </w:rPr>
              <w:t>30</w:t>
            </w:r>
          </w:p>
        </w:tc>
        <w:tc>
          <w:tcPr>
            <w:tcW w:w="2140" w:type="dxa"/>
            <w:shd w:val="clear" w:color="auto" w:fill="auto"/>
            <w:vAlign w:val="center"/>
          </w:tcPr>
          <w:p w:rsidR="00B4273B" w:rsidRPr="00B80D78" w:rsidRDefault="00B4273B" w:rsidP="00E3497D">
            <w:pPr>
              <w:jc w:val="center"/>
              <w:rPr>
                <w:b/>
              </w:rPr>
            </w:pPr>
            <w:r>
              <w:rPr>
                <w:b/>
              </w:rPr>
              <w:t>-</w:t>
            </w:r>
          </w:p>
        </w:tc>
      </w:tr>
      <w:tr w:rsidR="00B4273B" w:rsidRPr="00B80D78" w:rsidTr="00B4273B">
        <w:trPr>
          <w:jc w:val="center"/>
        </w:trPr>
        <w:tc>
          <w:tcPr>
            <w:tcW w:w="720" w:type="dxa"/>
            <w:vAlign w:val="center"/>
          </w:tcPr>
          <w:p w:rsidR="00B4273B" w:rsidRPr="00B80D78" w:rsidRDefault="00B4273B" w:rsidP="00E3497D">
            <w:pPr>
              <w:jc w:val="center"/>
              <w:rPr>
                <w:b/>
              </w:rPr>
            </w:pPr>
          </w:p>
        </w:tc>
        <w:tc>
          <w:tcPr>
            <w:tcW w:w="2160" w:type="dxa"/>
            <w:vAlign w:val="center"/>
          </w:tcPr>
          <w:p w:rsidR="00B4273B" w:rsidRPr="00B80D78" w:rsidRDefault="00B4273B" w:rsidP="00E3497D">
            <w:pPr>
              <w:jc w:val="center"/>
              <w:rPr>
                <w:b/>
              </w:rPr>
            </w:pPr>
            <w:r w:rsidRPr="00B80D78">
              <w:rPr>
                <w:b/>
              </w:rPr>
              <w:t>TOPLAM</w:t>
            </w:r>
          </w:p>
        </w:tc>
        <w:tc>
          <w:tcPr>
            <w:tcW w:w="2140" w:type="dxa"/>
            <w:vAlign w:val="center"/>
          </w:tcPr>
          <w:p w:rsidR="00B4273B" w:rsidRPr="00B80D78" w:rsidRDefault="00AC12F0" w:rsidP="00E3497D">
            <w:pPr>
              <w:jc w:val="center"/>
              <w:rPr>
                <w:b/>
              </w:rPr>
            </w:pPr>
            <w:r>
              <w:rPr>
                <w:b/>
              </w:rPr>
              <w:t>135</w:t>
            </w:r>
          </w:p>
        </w:tc>
        <w:tc>
          <w:tcPr>
            <w:tcW w:w="2140" w:type="dxa"/>
            <w:shd w:val="clear" w:color="auto" w:fill="auto"/>
            <w:vAlign w:val="center"/>
          </w:tcPr>
          <w:p w:rsidR="00B4273B" w:rsidRPr="00B80D78" w:rsidRDefault="00AC12F0" w:rsidP="00E3497D">
            <w:pPr>
              <w:jc w:val="center"/>
              <w:rPr>
                <w:b/>
              </w:rPr>
            </w:pPr>
            <w:r>
              <w:rPr>
                <w:b/>
              </w:rPr>
              <w:t>3</w:t>
            </w:r>
          </w:p>
        </w:tc>
      </w:tr>
    </w:tbl>
    <w:p w:rsidR="002A4684" w:rsidRPr="004A7F5B" w:rsidRDefault="002A4684" w:rsidP="002A4684">
      <w:pPr>
        <w:jc w:val="center"/>
        <w:rPr>
          <w:b/>
        </w:rPr>
      </w:pPr>
    </w:p>
    <w:p w:rsidR="002A4684" w:rsidRPr="006573EE" w:rsidRDefault="002A4684" w:rsidP="00CA3DA2">
      <w:pPr>
        <w:jc w:val="both"/>
      </w:pPr>
    </w:p>
    <w:sectPr w:rsidR="002A4684" w:rsidRPr="006573E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3D" w:rsidRDefault="0015233D">
      <w:r>
        <w:separator/>
      </w:r>
    </w:p>
  </w:endnote>
  <w:endnote w:type="continuationSeparator" w:id="0">
    <w:p w:rsidR="0015233D" w:rsidRDefault="0015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217" w:rsidRDefault="00D45217" w:rsidP="00C6146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45217" w:rsidRDefault="00D452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217" w:rsidRDefault="00D45217" w:rsidP="00C6146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F2911">
      <w:rPr>
        <w:rStyle w:val="SayfaNumaras"/>
        <w:noProof/>
      </w:rPr>
      <w:t>3</w:t>
    </w:r>
    <w:r>
      <w:rPr>
        <w:rStyle w:val="SayfaNumaras"/>
      </w:rPr>
      <w:fldChar w:fldCharType="end"/>
    </w:r>
  </w:p>
  <w:p w:rsidR="00D45217" w:rsidRDefault="00D452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3D" w:rsidRDefault="0015233D">
      <w:r>
        <w:separator/>
      </w:r>
    </w:p>
  </w:footnote>
  <w:footnote w:type="continuationSeparator" w:id="0">
    <w:p w:rsidR="0015233D" w:rsidRDefault="00152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A2"/>
    <w:rsid w:val="00010926"/>
    <w:rsid w:val="00051F31"/>
    <w:rsid w:val="00057C63"/>
    <w:rsid w:val="000950E6"/>
    <w:rsid w:val="000A3076"/>
    <w:rsid w:val="000A5185"/>
    <w:rsid w:val="000A756E"/>
    <w:rsid w:val="000B4218"/>
    <w:rsid w:val="000B4C37"/>
    <w:rsid w:val="000D6F25"/>
    <w:rsid w:val="000F2911"/>
    <w:rsid w:val="00103364"/>
    <w:rsid w:val="001168F4"/>
    <w:rsid w:val="00126FA7"/>
    <w:rsid w:val="00127C8D"/>
    <w:rsid w:val="00132AA8"/>
    <w:rsid w:val="0015233D"/>
    <w:rsid w:val="00170DA4"/>
    <w:rsid w:val="001773E1"/>
    <w:rsid w:val="00192622"/>
    <w:rsid w:val="001A5182"/>
    <w:rsid w:val="001E1434"/>
    <w:rsid w:val="00214AB6"/>
    <w:rsid w:val="00245D4C"/>
    <w:rsid w:val="002528CB"/>
    <w:rsid w:val="00252B72"/>
    <w:rsid w:val="00266617"/>
    <w:rsid w:val="002948DA"/>
    <w:rsid w:val="002A4684"/>
    <w:rsid w:val="002C6F90"/>
    <w:rsid w:val="002C73D0"/>
    <w:rsid w:val="002D398E"/>
    <w:rsid w:val="00314BB2"/>
    <w:rsid w:val="00327515"/>
    <w:rsid w:val="003417FB"/>
    <w:rsid w:val="00341873"/>
    <w:rsid w:val="00361C80"/>
    <w:rsid w:val="00365E64"/>
    <w:rsid w:val="0038313F"/>
    <w:rsid w:val="003937B0"/>
    <w:rsid w:val="003951C1"/>
    <w:rsid w:val="00396E96"/>
    <w:rsid w:val="003C41E9"/>
    <w:rsid w:val="003C774F"/>
    <w:rsid w:val="00440007"/>
    <w:rsid w:val="004619E2"/>
    <w:rsid w:val="004E41A3"/>
    <w:rsid w:val="0050263E"/>
    <w:rsid w:val="00536D96"/>
    <w:rsid w:val="005621F7"/>
    <w:rsid w:val="00570121"/>
    <w:rsid w:val="00591A36"/>
    <w:rsid w:val="005C2948"/>
    <w:rsid w:val="005C7FCE"/>
    <w:rsid w:val="005D4D18"/>
    <w:rsid w:val="00601E30"/>
    <w:rsid w:val="00632395"/>
    <w:rsid w:val="006509ED"/>
    <w:rsid w:val="0065168E"/>
    <w:rsid w:val="006573EE"/>
    <w:rsid w:val="00670B08"/>
    <w:rsid w:val="00681456"/>
    <w:rsid w:val="00690B5E"/>
    <w:rsid w:val="006B44C3"/>
    <w:rsid w:val="006C16B8"/>
    <w:rsid w:val="00702B14"/>
    <w:rsid w:val="00743A58"/>
    <w:rsid w:val="00747ED6"/>
    <w:rsid w:val="007503F7"/>
    <w:rsid w:val="0075162D"/>
    <w:rsid w:val="00780A76"/>
    <w:rsid w:val="007D3FCE"/>
    <w:rsid w:val="00804266"/>
    <w:rsid w:val="00875041"/>
    <w:rsid w:val="008C24ED"/>
    <w:rsid w:val="008C7B6E"/>
    <w:rsid w:val="00914BBA"/>
    <w:rsid w:val="00956291"/>
    <w:rsid w:val="0099737E"/>
    <w:rsid w:val="009A216A"/>
    <w:rsid w:val="009A5983"/>
    <w:rsid w:val="009C11A5"/>
    <w:rsid w:val="009E1728"/>
    <w:rsid w:val="009E3869"/>
    <w:rsid w:val="009E7A2A"/>
    <w:rsid w:val="009E7BA6"/>
    <w:rsid w:val="00A023D8"/>
    <w:rsid w:val="00A93CF5"/>
    <w:rsid w:val="00AA63BC"/>
    <w:rsid w:val="00AC06AB"/>
    <w:rsid w:val="00AC12F0"/>
    <w:rsid w:val="00B21D26"/>
    <w:rsid w:val="00B30C5B"/>
    <w:rsid w:val="00B36B9C"/>
    <w:rsid w:val="00B404D2"/>
    <w:rsid w:val="00B409A8"/>
    <w:rsid w:val="00B4273B"/>
    <w:rsid w:val="00B531E4"/>
    <w:rsid w:val="00B655FF"/>
    <w:rsid w:val="00B80D78"/>
    <w:rsid w:val="00B93E02"/>
    <w:rsid w:val="00BB0E43"/>
    <w:rsid w:val="00BB194D"/>
    <w:rsid w:val="00BB4954"/>
    <w:rsid w:val="00BD541C"/>
    <w:rsid w:val="00C057C9"/>
    <w:rsid w:val="00C4425C"/>
    <w:rsid w:val="00C61466"/>
    <w:rsid w:val="00C90C3C"/>
    <w:rsid w:val="00C91A19"/>
    <w:rsid w:val="00CA3DA2"/>
    <w:rsid w:val="00CD60BC"/>
    <w:rsid w:val="00D37BB4"/>
    <w:rsid w:val="00D45217"/>
    <w:rsid w:val="00DB4EAF"/>
    <w:rsid w:val="00DD46AF"/>
    <w:rsid w:val="00E1099F"/>
    <w:rsid w:val="00E25497"/>
    <w:rsid w:val="00E3497D"/>
    <w:rsid w:val="00E35412"/>
    <w:rsid w:val="00E63BF9"/>
    <w:rsid w:val="00E65A76"/>
    <w:rsid w:val="00EA31E1"/>
    <w:rsid w:val="00EB680E"/>
    <w:rsid w:val="00EC7560"/>
    <w:rsid w:val="00ED68B8"/>
    <w:rsid w:val="00F36173"/>
    <w:rsid w:val="00F44696"/>
    <w:rsid w:val="00F502A9"/>
    <w:rsid w:val="00F9311D"/>
    <w:rsid w:val="00FC2D30"/>
    <w:rsid w:val="00FF0072"/>
    <w:rsid w:val="00FF3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rsid w:val="000B4218"/>
    <w:pPr>
      <w:keepNext/>
      <w:overflowPunct w:val="0"/>
      <w:autoSpaceDE w:val="0"/>
      <w:autoSpaceDN w:val="0"/>
      <w:adjustRightInd w:val="0"/>
      <w:spacing w:before="240" w:after="60"/>
      <w:textAlignment w:val="baseline"/>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0A756E"/>
    <w:pPr>
      <w:tabs>
        <w:tab w:val="center" w:pos="4536"/>
        <w:tab w:val="right" w:pos="9072"/>
      </w:tabs>
    </w:pPr>
  </w:style>
  <w:style w:type="character" w:styleId="SayfaNumaras">
    <w:name w:val="page number"/>
    <w:basedOn w:val="VarsaylanParagrafYazTipi"/>
    <w:rsid w:val="000A756E"/>
  </w:style>
  <w:style w:type="table" w:styleId="TabloKlavuzu">
    <w:name w:val="Table Grid"/>
    <w:basedOn w:val="NormalTablo"/>
    <w:rsid w:val="002A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rsid w:val="000B4218"/>
    <w:pPr>
      <w:overflowPunct w:val="0"/>
      <w:autoSpaceDE w:val="0"/>
      <w:autoSpaceDN w:val="0"/>
      <w:adjustRightInd w:val="0"/>
      <w:jc w:val="center"/>
      <w:textAlignment w:val="baseline"/>
    </w:pPr>
    <w:rPr>
      <w:rFonts w:ascii="Arial" w:hAnsi="Arial"/>
      <w:b/>
      <w:sz w:val="20"/>
      <w:szCs w:val="20"/>
    </w:rPr>
  </w:style>
  <w:style w:type="character" w:customStyle="1" w:styleId="GvdeMetni2Char">
    <w:name w:val="Gövde Metni 2 Char"/>
    <w:link w:val="GvdeMetni2"/>
    <w:semiHidden/>
    <w:rsid w:val="000B4218"/>
    <w:rPr>
      <w:rFonts w:ascii="Arial" w:hAnsi="Arial"/>
      <w:b/>
      <w:lang w:val="tr-TR" w:eastAsia="tr-TR" w:bidi="ar-SA"/>
    </w:rPr>
  </w:style>
  <w:style w:type="character" w:customStyle="1" w:styleId="Balk1Char">
    <w:name w:val="Başlık 1 Char"/>
    <w:link w:val="Balk1"/>
    <w:rsid w:val="000B4218"/>
    <w:rPr>
      <w:rFonts w:ascii="Cambria" w:hAnsi="Cambria"/>
      <w:b/>
      <w:bCs/>
      <w:kern w:val="32"/>
      <w:sz w:val="32"/>
      <w:szCs w:val="32"/>
      <w:lang w:val="tr-TR" w:eastAsia="tr-TR" w:bidi="ar-SA"/>
    </w:rPr>
  </w:style>
  <w:style w:type="paragraph" w:styleId="BalonMetni">
    <w:name w:val="Balloon Text"/>
    <w:basedOn w:val="Normal"/>
    <w:link w:val="BalonMetniChar"/>
    <w:rsid w:val="00B21D26"/>
    <w:rPr>
      <w:rFonts w:ascii="Tahoma" w:hAnsi="Tahoma" w:cs="Tahoma"/>
      <w:sz w:val="16"/>
      <w:szCs w:val="16"/>
    </w:rPr>
  </w:style>
  <w:style w:type="character" w:customStyle="1" w:styleId="BalonMetniChar">
    <w:name w:val="Balon Metni Char"/>
    <w:basedOn w:val="VarsaylanParagrafYazTipi"/>
    <w:link w:val="BalonMetni"/>
    <w:rsid w:val="00B21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rsid w:val="000B4218"/>
    <w:pPr>
      <w:keepNext/>
      <w:overflowPunct w:val="0"/>
      <w:autoSpaceDE w:val="0"/>
      <w:autoSpaceDN w:val="0"/>
      <w:adjustRightInd w:val="0"/>
      <w:spacing w:before="240" w:after="60"/>
      <w:textAlignment w:val="baseline"/>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0A756E"/>
    <w:pPr>
      <w:tabs>
        <w:tab w:val="center" w:pos="4536"/>
        <w:tab w:val="right" w:pos="9072"/>
      </w:tabs>
    </w:pPr>
  </w:style>
  <w:style w:type="character" w:styleId="SayfaNumaras">
    <w:name w:val="page number"/>
    <w:basedOn w:val="VarsaylanParagrafYazTipi"/>
    <w:rsid w:val="000A756E"/>
  </w:style>
  <w:style w:type="table" w:styleId="TabloKlavuzu">
    <w:name w:val="Table Grid"/>
    <w:basedOn w:val="NormalTablo"/>
    <w:rsid w:val="002A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rsid w:val="000B4218"/>
    <w:pPr>
      <w:overflowPunct w:val="0"/>
      <w:autoSpaceDE w:val="0"/>
      <w:autoSpaceDN w:val="0"/>
      <w:adjustRightInd w:val="0"/>
      <w:jc w:val="center"/>
      <w:textAlignment w:val="baseline"/>
    </w:pPr>
    <w:rPr>
      <w:rFonts w:ascii="Arial" w:hAnsi="Arial"/>
      <w:b/>
      <w:sz w:val="20"/>
      <w:szCs w:val="20"/>
    </w:rPr>
  </w:style>
  <w:style w:type="character" w:customStyle="1" w:styleId="GvdeMetni2Char">
    <w:name w:val="Gövde Metni 2 Char"/>
    <w:link w:val="GvdeMetni2"/>
    <w:semiHidden/>
    <w:rsid w:val="000B4218"/>
    <w:rPr>
      <w:rFonts w:ascii="Arial" w:hAnsi="Arial"/>
      <w:b/>
      <w:lang w:val="tr-TR" w:eastAsia="tr-TR" w:bidi="ar-SA"/>
    </w:rPr>
  </w:style>
  <w:style w:type="character" w:customStyle="1" w:styleId="Balk1Char">
    <w:name w:val="Başlık 1 Char"/>
    <w:link w:val="Balk1"/>
    <w:rsid w:val="000B4218"/>
    <w:rPr>
      <w:rFonts w:ascii="Cambria" w:hAnsi="Cambria"/>
      <w:b/>
      <w:bCs/>
      <w:kern w:val="32"/>
      <w:sz w:val="32"/>
      <w:szCs w:val="32"/>
      <w:lang w:val="tr-TR" w:eastAsia="tr-TR" w:bidi="ar-SA"/>
    </w:rPr>
  </w:style>
  <w:style w:type="paragraph" w:styleId="BalonMetni">
    <w:name w:val="Balloon Text"/>
    <w:basedOn w:val="Normal"/>
    <w:link w:val="BalonMetniChar"/>
    <w:rsid w:val="00B21D26"/>
    <w:rPr>
      <w:rFonts w:ascii="Tahoma" w:hAnsi="Tahoma" w:cs="Tahoma"/>
      <w:sz w:val="16"/>
      <w:szCs w:val="16"/>
    </w:rPr>
  </w:style>
  <w:style w:type="character" w:customStyle="1" w:styleId="BalonMetniChar">
    <w:name w:val="Balon Metni Char"/>
    <w:basedOn w:val="VarsaylanParagrafYazTipi"/>
    <w:link w:val="BalonMetni"/>
    <w:rsid w:val="00B21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CFA4-81B9-4E7F-AA29-C97B9460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1442</Words>
  <Characters>8226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TÜRKİYE TAŞKÖMÜRÜ KURUMU GENEL MÜDÜRLÜĞÜ BÜNYESİNDE 5188 SAYILI KANUN KAPSAMINDA ÖZEL GÜVENLİK GÖREVLİSİ OLARAK GÖREV YAPAN ELEMANLARIN YENİLEME EĞİTİMLERİNİN HİZMET ALIMI YOLUYLA YAPTIRILMASINA İLİŞKİN ŞARTNAME</vt:lpstr>
    </vt:vector>
  </TitlesOfParts>
  <Company>Hasret Export Import</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TAŞKÖMÜRÜ KURUMU GENEL MÜDÜRLÜĞÜ BÜNYESİNDE 5188 SAYILI KANUN KAPSAMINDA ÖZEL GÜVENLİK GÖREVLİSİ OLARAK GÖREV YAPAN ELEMANLARIN YENİLEME EĞİTİMLERİNİN HİZMET ALIMI YOLUYLA YAPTIRILMASINA İLİŞKİN ŞARTNAME</dc:title>
  <dc:creator>user</dc:creator>
  <cp:lastModifiedBy>Muammer Karagöz</cp:lastModifiedBy>
  <cp:revision>30</cp:revision>
  <cp:lastPrinted>2023-01-05T04:58:00Z</cp:lastPrinted>
  <dcterms:created xsi:type="dcterms:W3CDTF">2018-06-22T13:34:00Z</dcterms:created>
  <dcterms:modified xsi:type="dcterms:W3CDTF">2023-01-09T07:47:00Z</dcterms:modified>
</cp:coreProperties>
</file>